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0822E4" w:rsidRDefault="00F957DA" w:rsidP="006816EC">
      <w:pPr>
        <w:suppressLineNumbers/>
        <w:rPr>
          <w:b/>
          <w:bCs/>
          <w:sz w:val="26"/>
          <w:szCs w:val="26"/>
          <w:rtl/>
        </w:rPr>
      </w:pPr>
      <w:r w:rsidRPr="000822E4">
        <w:rPr>
          <w:rFonts w:hint="cs"/>
          <w:b/>
          <w:bCs/>
          <w:sz w:val="26"/>
          <w:szCs w:val="26"/>
          <w:rtl/>
        </w:rPr>
        <w:t xml:space="preserve">בפניי : </w:t>
      </w:r>
      <w:r w:rsidR="000822E4">
        <w:rPr>
          <w:b/>
          <w:bCs/>
          <w:sz w:val="26"/>
          <w:szCs w:val="26"/>
          <w:rtl/>
        </w:rPr>
        <w:tab/>
      </w:r>
      <w:r w:rsidRPr="000822E4">
        <w:rPr>
          <w:rFonts w:hint="cs"/>
          <w:b/>
          <w:bCs/>
          <w:sz w:val="26"/>
          <w:szCs w:val="26"/>
          <w:rtl/>
        </w:rPr>
        <w:t xml:space="preserve">כבוד השופטת לירון זרבל </w:t>
      </w:r>
      <w:r w:rsidRPr="000822E4">
        <w:rPr>
          <w:b/>
          <w:bCs/>
          <w:sz w:val="26"/>
          <w:szCs w:val="26"/>
          <w:rtl/>
        </w:rPr>
        <w:t>–</w:t>
      </w:r>
      <w:r w:rsidRPr="000822E4">
        <w:rPr>
          <w:rFonts w:hint="cs"/>
          <w:b/>
          <w:bCs/>
          <w:sz w:val="26"/>
          <w:szCs w:val="26"/>
          <w:rtl/>
        </w:rPr>
        <w:t xml:space="preserve"> קדשאי</w:t>
      </w:r>
    </w:p>
    <w:p w:rsidR="00F957DA" w:rsidRPr="000822E4" w:rsidRDefault="00F957DA" w:rsidP="006816EC">
      <w:pPr>
        <w:suppressLineNumbers/>
        <w:rPr>
          <w:b/>
          <w:bCs/>
          <w:sz w:val="26"/>
          <w:szCs w:val="26"/>
          <w:rtl/>
        </w:rPr>
      </w:pPr>
    </w:p>
    <w:p w:rsidR="000822E4" w:rsidRDefault="000822E4" w:rsidP="006816EC">
      <w:pPr>
        <w:suppressLineNumbers/>
        <w:rPr>
          <w:b/>
          <w:bCs/>
          <w:sz w:val="26"/>
          <w:szCs w:val="26"/>
          <w:rtl/>
        </w:rPr>
      </w:pPr>
    </w:p>
    <w:p w:rsidR="000822E4" w:rsidRDefault="000822E4" w:rsidP="006816EC">
      <w:pPr>
        <w:suppressLineNumbers/>
        <w:rPr>
          <w:b/>
          <w:bCs/>
          <w:sz w:val="26"/>
          <w:szCs w:val="26"/>
          <w:rtl/>
        </w:rPr>
      </w:pPr>
    </w:p>
    <w:p w:rsidR="00F957DA" w:rsidRPr="000822E4" w:rsidRDefault="00F957DA" w:rsidP="00401C78">
      <w:pPr>
        <w:suppressLineNumbers/>
        <w:rPr>
          <w:b/>
          <w:bCs/>
          <w:sz w:val="26"/>
          <w:szCs w:val="26"/>
          <w:rtl/>
        </w:rPr>
      </w:pPr>
      <w:r w:rsidRPr="000822E4">
        <w:rPr>
          <w:rFonts w:hint="cs"/>
          <w:b/>
          <w:bCs/>
          <w:sz w:val="26"/>
          <w:szCs w:val="26"/>
          <w:rtl/>
        </w:rPr>
        <w:t xml:space="preserve">בעניין המנוח: </w:t>
      </w:r>
      <w:r w:rsidR="000822E4">
        <w:rPr>
          <w:b/>
          <w:bCs/>
          <w:sz w:val="26"/>
          <w:szCs w:val="26"/>
          <w:rtl/>
        </w:rPr>
        <w:tab/>
      </w:r>
      <w:r w:rsidR="000822E4">
        <w:rPr>
          <w:b/>
          <w:bCs/>
          <w:sz w:val="26"/>
          <w:szCs w:val="26"/>
          <w:rtl/>
        </w:rPr>
        <w:tab/>
      </w:r>
      <w:r w:rsidR="00401C78">
        <w:rPr>
          <w:rFonts w:hint="cs"/>
          <w:b/>
          <w:bCs/>
          <w:sz w:val="26"/>
          <w:szCs w:val="26"/>
          <w:rtl/>
        </w:rPr>
        <w:t>המנוח</w:t>
      </w:r>
    </w:p>
    <w:p w:rsidR="00F957DA" w:rsidRPr="000822E4" w:rsidRDefault="00F957DA" w:rsidP="006816EC">
      <w:pPr>
        <w:suppressLineNumbers/>
        <w:rPr>
          <w:b/>
          <w:bCs/>
          <w:sz w:val="26"/>
          <w:szCs w:val="26"/>
          <w:rtl/>
        </w:rPr>
      </w:pPr>
    </w:p>
    <w:p w:rsidR="00F957DA" w:rsidRPr="000822E4" w:rsidRDefault="00F957DA" w:rsidP="006816EC">
      <w:pPr>
        <w:suppressLineNumbers/>
        <w:rPr>
          <w:b/>
          <w:bCs/>
          <w:sz w:val="26"/>
          <w:szCs w:val="26"/>
          <w:rtl/>
        </w:rPr>
      </w:pPr>
    </w:p>
    <w:p w:rsidR="00F957DA" w:rsidRPr="000822E4" w:rsidRDefault="00F957DA" w:rsidP="006816EC">
      <w:pPr>
        <w:suppressLineNumbers/>
        <w:rPr>
          <w:b/>
          <w:bCs/>
          <w:sz w:val="26"/>
          <w:szCs w:val="26"/>
          <w:rtl/>
        </w:rPr>
      </w:pPr>
    </w:p>
    <w:p w:rsidR="00F957DA" w:rsidRPr="000822E4" w:rsidRDefault="00F957DA" w:rsidP="00401C78">
      <w:pPr>
        <w:suppressLineNumbers/>
        <w:rPr>
          <w:b/>
          <w:bCs/>
          <w:sz w:val="26"/>
          <w:szCs w:val="26"/>
          <w:rtl/>
        </w:rPr>
      </w:pPr>
      <w:r w:rsidRPr="000822E4">
        <w:rPr>
          <w:rFonts w:hint="cs"/>
          <w:b/>
          <w:bCs/>
          <w:sz w:val="26"/>
          <w:szCs w:val="26"/>
          <w:rtl/>
        </w:rPr>
        <w:t xml:space="preserve">המבקש : </w:t>
      </w:r>
      <w:r w:rsidR="000822E4">
        <w:rPr>
          <w:b/>
          <w:bCs/>
          <w:sz w:val="26"/>
          <w:szCs w:val="26"/>
          <w:rtl/>
        </w:rPr>
        <w:tab/>
      </w:r>
      <w:r w:rsidR="000822E4">
        <w:rPr>
          <w:b/>
          <w:bCs/>
          <w:sz w:val="26"/>
          <w:szCs w:val="26"/>
          <w:rtl/>
        </w:rPr>
        <w:tab/>
      </w:r>
      <w:r w:rsidRPr="000822E4">
        <w:rPr>
          <w:rFonts w:hint="cs"/>
          <w:b/>
          <w:bCs/>
          <w:sz w:val="26"/>
          <w:szCs w:val="26"/>
          <w:rtl/>
        </w:rPr>
        <w:t xml:space="preserve">עו"ד </w:t>
      </w:r>
      <w:r w:rsidR="00401C78">
        <w:rPr>
          <w:rFonts w:hint="cs"/>
          <w:b/>
          <w:bCs/>
          <w:sz w:val="26"/>
          <w:szCs w:val="26"/>
          <w:rtl/>
        </w:rPr>
        <w:t>פלוני</w:t>
      </w:r>
      <w:r w:rsidRPr="000822E4">
        <w:rPr>
          <w:rFonts w:hint="cs"/>
          <w:b/>
          <w:bCs/>
          <w:sz w:val="26"/>
          <w:szCs w:val="26"/>
          <w:rtl/>
        </w:rPr>
        <w:t xml:space="preserve"> </w:t>
      </w:r>
      <w:r w:rsidRPr="000822E4">
        <w:rPr>
          <w:b/>
          <w:bCs/>
          <w:sz w:val="26"/>
          <w:szCs w:val="26"/>
          <w:rtl/>
        </w:rPr>
        <w:t>–</w:t>
      </w:r>
      <w:r w:rsidRPr="000822E4">
        <w:rPr>
          <w:rFonts w:hint="cs"/>
          <w:b/>
          <w:bCs/>
          <w:sz w:val="26"/>
          <w:szCs w:val="26"/>
          <w:rtl/>
        </w:rPr>
        <w:t xml:space="preserve"> מנהל העזבון</w:t>
      </w:r>
    </w:p>
    <w:p w:rsidR="00F957DA" w:rsidRDefault="00F957DA" w:rsidP="006816EC">
      <w:pPr>
        <w:suppressLineNumbers/>
        <w:rPr>
          <w:sz w:val="26"/>
          <w:szCs w:val="26"/>
          <w:rtl/>
        </w:rPr>
      </w:pPr>
    </w:p>
    <w:p w:rsidR="000822E4" w:rsidRDefault="000822E4" w:rsidP="006816EC">
      <w:pPr>
        <w:suppressLineNumbers/>
        <w:rPr>
          <w:sz w:val="26"/>
          <w:szCs w:val="26"/>
          <w:rtl/>
        </w:rPr>
      </w:pPr>
    </w:p>
    <w:p w:rsidR="00F957DA" w:rsidRDefault="00F957DA" w:rsidP="000822E4">
      <w:pPr>
        <w:suppressLineNumbers/>
        <w:ind w:left="2880" w:firstLine="720"/>
        <w:rPr>
          <w:sz w:val="26"/>
          <w:szCs w:val="26"/>
          <w:rtl/>
        </w:rPr>
      </w:pPr>
      <w:r>
        <w:rPr>
          <w:rFonts w:hint="cs"/>
          <w:sz w:val="26"/>
          <w:szCs w:val="26"/>
          <w:rtl/>
        </w:rPr>
        <w:t>נ  ג  ד</w:t>
      </w:r>
    </w:p>
    <w:p w:rsidR="00F957DA" w:rsidRDefault="00F957DA" w:rsidP="006816EC">
      <w:pPr>
        <w:suppressLineNumbers/>
        <w:rPr>
          <w:sz w:val="26"/>
          <w:szCs w:val="26"/>
          <w:rtl/>
        </w:rPr>
      </w:pPr>
    </w:p>
    <w:p w:rsidR="000822E4" w:rsidRDefault="000822E4" w:rsidP="006816EC">
      <w:pPr>
        <w:suppressLineNumbers/>
        <w:rPr>
          <w:sz w:val="26"/>
          <w:szCs w:val="26"/>
          <w:rtl/>
        </w:rPr>
      </w:pPr>
    </w:p>
    <w:p w:rsidR="00F957DA" w:rsidRPr="000822E4" w:rsidRDefault="00F957DA" w:rsidP="000822E4">
      <w:pPr>
        <w:suppressLineNumbers/>
        <w:spacing w:line="276" w:lineRule="auto"/>
        <w:rPr>
          <w:b/>
          <w:bCs/>
          <w:sz w:val="26"/>
          <w:szCs w:val="26"/>
          <w:rtl/>
        </w:rPr>
      </w:pPr>
      <w:r w:rsidRPr="000822E4">
        <w:rPr>
          <w:rFonts w:hint="cs"/>
          <w:b/>
          <w:bCs/>
          <w:sz w:val="26"/>
          <w:szCs w:val="26"/>
          <w:rtl/>
        </w:rPr>
        <w:t xml:space="preserve">המשיבים : </w:t>
      </w:r>
      <w:r w:rsidR="000822E4">
        <w:rPr>
          <w:b/>
          <w:bCs/>
          <w:sz w:val="26"/>
          <w:szCs w:val="26"/>
          <w:rtl/>
        </w:rPr>
        <w:tab/>
      </w:r>
      <w:r w:rsidR="000822E4">
        <w:rPr>
          <w:rFonts w:hint="cs"/>
          <w:b/>
          <w:bCs/>
          <w:sz w:val="26"/>
          <w:szCs w:val="26"/>
          <w:rtl/>
        </w:rPr>
        <w:t>1.</w:t>
      </w:r>
      <w:r w:rsidR="000822E4">
        <w:rPr>
          <w:rFonts w:hint="cs"/>
          <w:b/>
          <w:bCs/>
          <w:sz w:val="26"/>
          <w:szCs w:val="26"/>
          <w:rtl/>
        </w:rPr>
        <w:tab/>
      </w:r>
      <w:r w:rsidRPr="000822E4">
        <w:rPr>
          <w:b/>
          <w:bCs/>
          <w:sz w:val="26"/>
          <w:szCs w:val="26"/>
          <w:rtl/>
        </w:rPr>
        <w:t>האפוטרופוס הכללי מחוז חיפה והצפון</w:t>
      </w:r>
    </w:p>
    <w:p w:rsidR="000822E4" w:rsidRPr="000822E4" w:rsidRDefault="000822E4" w:rsidP="000822E4">
      <w:pPr>
        <w:suppressLineNumbers/>
        <w:spacing w:line="276" w:lineRule="auto"/>
        <w:ind w:left="1440" w:firstLine="720"/>
        <w:rPr>
          <w:rtl/>
        </w:rPr>
      </w:pPr>
      <w:r w:rsidRPr="000822E4">
        <w:rPr>
          <w:rFonts w:hint="cs"/>
          <w:rtl/>
        </w:rPr>
        <w:t>ע"י ב"כ היועץ המשפט לממשלה</w:t>
      </w:r>
    </w:p>
    <w:p w:rsidR="00F957DA" w:rsidRDefault="00F957DA" w:rsidP="006816EC">
      <w:pPr>
        <w:suppressLineNumbers/>
        <w:rPr>
          <w:sz w:val="26"/>
          <w:szCs w:val="26"/>
          <w:rtl/>
        </w:rPr>
      </w:pPr>
    </w:p>
    <w:p w:rsidR="00F957DA" w:rsidRPr="000822E4" w:rsidRDefault="000822E4" w:rsidP="008C388D">
      <w:pPr>
        <w:suppressLineNumbers/>
        <w:ind w:left="720" w:firstLine="720"/>
        <w:rPr>
          <w:b/>
          <w:bCs/>
          <w:sz w:val="26"/>
          <w:szCs w:val="26"/>
          <w:rtl/>
        </w:rPr>
      </w:pPr>
      <w:r>
        <w:rPr>
          <w:rFonts w:hint="cs"/>
          <w:b/>
          <w:bCs/>
          <w:sz w:val="26"/>
          <w:szCs w:val="26"/>
          <w:rtl/>
        </w:rPr>
        <w:t>2.</w:t>
      </w:r>
      <w:r>
        <w:rPr>
          <w:rFonts w:hint="cs"/>
          <w:b/>
          <w:bCs/>
          <w:sz w:val="26"/>
          <w:szCs w:val="26"/>
          <w:rtl/>
        </w:rPr>
        <w:tab/>
      </w:r>
      <w:r w:rsidR="00401C78">
        <w:rPr>
          <w:rFonts w:hint="cs"/>
          <w:b/>
          <w:bCs/>
          <w:sz w:val="26"/>
          <w:szCs w:val="26"/>
          <w:rtl/>
        </w:rPr>
        <w:t>פלונית</w:t>
      </w:r>
    </w:p>
    <w:p w:rsidR="000822E4" w:rsidRPr="000822E4" w:rsidRDefault="000822E4" w:rsidP="006816EC">
      <w:pPr>
        <w:suppressLineNumbers/>
        <w:rPr>
          <w:b/>
          <w:bCs/>
          <w:sz w:val="26"/>
          <w:szCs w:val="26"/>
          <w:rtl/>
        </w:rPr>
      </w:pPr>
    </w:p>
    <w:p w:rsidR="00F957DA" w:rsidRPr="000822E4" w:rsidRDefault="000822E4" w:rsidP="008C388D">
      <w:pPr>
        <w:suppressLineNumbers/>
        <w:ind w:left="720" w:firstLine="720"/>
        <w:rPr>
          <w:b/>
          <w:bCs/>
          <w:sz w:val="26"/>
          <w:szCs w:val="26"/>
          <w:rtl/>
        </w:rPr>
      </w:pPr>
      <w:r>
        <w:rPr>
          <w:rFonts w:hint="cs"/>
          <w:b/>
          <w:bCs/>
          <w:sz w:val="26"/>
          <w:szCs w:val="26"/>
          <w:rtl/>
        </w:rPr>
        <w:t>3.</w:t>
      </w:r>
      <w:r>
        <w:rPr>
          <w:rFonts w:hint="cs"/>
          <w:b/>
          <w:bCs/>
          <w:sz w:val="26"/>
          <w:szCs w:val="26"/>
          <w:rtl/>
        </w:rPr>
        <w:tab/>
      </w:r>
      <w:r w:rsidR="00401C78">
        <w:rPr>
          <w:rFonts w:hint="cs"/>
          <w:b/>
          <w:bCs/>
          <w:sz w:val="26"/>
          <w:szCs w:val="26"/>
          <w:rtl/>
        </w:rPr>
        <w:t>אלמונית</w:t>
      </w:r>
    </w:p>
    <w:p w:rsidR="000822E4" w:rsidRPr="000822E4" w:rsidRDefault="000822E4" w:rsidP="006816EC">
      <w:pPr>
        <w:suppressLineNumbers/>
        <w:rPr>
          <w:b/>
          <w:bCs/>
          <w:sz w:val="26"/>
          <w:szCs w:val="26"/>
          <w:rtl/>
        </w:rPr>
      </w:pPr>
    </w:p>
    <w:p w:rsidR="00F957DA" w:rsidRPr="000822E4" w:rsidRDefault="000822E4" w:rsidP="008C388D">
      <w:pPr>
        <w:suppressLineNumbers/>
        <w:spacing w:line="360" w:lineRule="auto"/>
        <w:ind w:left="720" w:firstLine="720"/>
        <w:rPr>
          <w:b/>
          <w:bCs/>
          <w:sz w:val="26"/>
          <w:szCs w:val="26"/>
          <w:rtl/>
        </w:rPr>
      </w:pPr>
      <w:r>
        <w:rPr>
          <w:rFonts w:hint="cs"/>
          <w:b/>
          <w:bCs/>
          <w:sz w:val="26"/>
          <w:szCs w:val="26"/>
          <w:rtl/>
        </w:rPr>
        <w:t>4.</w:t>
      </w:r>
      <w:r>
        <w:rPr>
          <w:rFonts w:hint="cs"/>
          <w:b/>
          <w:bCs/>
          <w:sz w:val="26"/>
          <w:szCs w:val="26"/>
          <w:rtl/>
        </w:rPr>
        <w:tab/>
      </w:r>
      <w:r w:rsidR="00401C78">
        <w:rPr>
          <w:rFonts w:hint="cs"/>
          <w:b/>
          <w:bCs/>
          <w:sz w:val="26"/>
          <w:szCs w:val="26"/>
          <w:rtl/>
        </w:rPr>
        <w:t>קטינה</w:t>
      </w:r>
    </w:p>
    <w:p w:rsidR="00BB49B9" w:rsidRPr="000822E4" w:rsidRDefault="00BB49B9" w:rsidP="004F6D96">
      <w:pPr>
        <w:suppressLineNumbers/>
        <w:spacing w:line="360" w:lineRule="auto"/>
        <w:ind w:left="1440" w:firstLine="720"/>
        <w:rPr>
          <w:rtl/>
        </w:rPr>
      </w:pPr>
      <w:r w:rsidRPr="000822E4">
        <w:rPr>
          <w:rFonts w:hint="cs"/>
          <w:rtl/>
        </w:rPr>
        <w:t>באמצעות הוריה, האפוטרופסים הטבעיים:</w:t>
      </w:r>
    </w:p>
    <w:p w:rsidR="00BB49B9" w:rsidRPr="000822E4" w:rsidRDefault="00401C78" w:rsidP="00401C78">
      <w:pPr>
        <w:suppressLineNumbers/>
        <w:spacing w:line="360" w:lineRule="auto"/>
        <w:ind w:left="1440" w:firstLine="720"/>
        <w:rPr>
          <w:b/>
          <w:bCs/>
          <w:rtl/>
        </w:rPr>
      </w:pPr>
      <w:r>
        <w:rPr>
          <w:rFonts w:hint="cs"/>
          <w:b/>
          <w:bCs/>
          <w:rtl/>
        </w:rPr>
        <w:t xml:space="preserve">האב </w:t>
      </w:r>
      <w:r w:rsidRPr="00401C78">
        <w:rPr>
          <w:rFonts w:hint="cs"/>
          <w:rtl/>
        </w:rPr>
        <w:t>[...]</w:t>
      </w:r>
      <w:r w:rsidR="00BB49B9" w:rsidRPr="000822E4">
        <w:rPr>
          <w:rFonts w:hint="cs"/>
          <w:b/>
          <w:bCs/>
          <w:rtl/>
        </w:rPr>
        <w:t>; ו</w:t>
      </w:r>
      <w:r>
        <w:rPr>
          <w:rFonts w:hint="cs"/>
          <w:b/>
          <w:bCs/>
          <w:rtl/>
        </w:rPr>
        <w:t>הא</w:t>
      </w:r>
      <w:r>
        <w:rPr>
          <w:rFonts w:ascii="David" w:hAnsi="David"/>
          <w:b/>
          <w:bCs/>
          <w:rtl/>
        </w:rPr>
        <w:t>ֵ</w:t>
      </w:r>
      <w:r>
        <w:rPr>
          <w:rFonts w:hint="cs"/>
          <w:b/>
          <w:bCs/>
          <w:rtl/>
        </w:rPr>
        <w:t xml:space="preserve">ם </w:t>
      </w:r>
      <w:r w:rsidRPr="00401C78">
        <w:rPr>
          <w:rFonts w:hint="cs"/>
          <w:rtl/>
        </w:rPr>
        <w:t>[...]</w:t>
      </w:r>
    </w:p>
    <w:p w:rsidR="00BB49B9" w:rsidRDefault="00BB49B9" w:rsidP="006816EC">
      <w:pPr>
        <w:suppressLineNumbers/>
        <w:rPr>
          <w:sz w:val="26"/>
          <w:szCs w:val="26"/>
          <w:rtl/>
        </w:rPr>
      </w:pPr>
    </w:p>
    <w:p w:rsidR="00F957DA" w:rsidRPr="000822E4" w:rsidRDefault="000822E4" w:rsidP="00401C78">
      <w:pPr>
        <w:suppressLineNumbers/>
        <w:ind w:left="720" w:right="-567" w:firstLine="720"/>
        <w:rPr>
          <w:b/>
          <w:bCs/>
          <w:sz w:val="26"/>
          <w:szCs w:val="26"/>
          <w:rtl/>
        </w:rPr>
      </w:pPr>
      <w:r>
        <w:rPr>
          <w:rFonts w:hint="cs"/>
          <w:b/>
          <w:bCs/>
          <w:sz w:val="26"/>
          <w:szCs w:val="26"/>
          <w:rtl/>
        </w:rPr>
        <w:t>5.</w:t>
      </w:r>
      <w:r>
        <w:rPr>
          <w:rFonts w:hint="cs"/>
          <w:b/>
          <w:bCs/>
          <w:sz w:val="26"/>
          <w:szCs w:val="26"/>
          <w:rtl/>
        </w:rPr>
        <w:tab/>
      </w:r>
      <w:r w:rsidR="00F957DA" w:rsidRPr="000822E4">
        <w:rPr>
          <w:b/>
          <w:bCs/>
          <w:sz w:val="26"/>
          <w:szCs w:val="26"/>
          <w:rtl/>
        </w:rPr>
        <w:t>קרן הצדקה של ארגון עולי מרכז אירופה</w:t>
      </w:r>
      <w:r w:rsidR="00BB49B9" w:rsidRPr="000822E4">
        <w:rPr>
          <w:rFonts w:hint="cs"/>
          <w:b/>
          <w:bCs/>
          <w:sz w:val="26"/>
          <w:szCs w:val="26"/>
          <w:rtl/>
        </w:rPr>
        <w:t xml:space="preserve"> - חיפה,</w:t>
      </w:r>
      <w:r w:rsidR="00BB49B9" w:rsidRPr="000822E4">
        <w:rPr>
          <w:b/>
          <w:bCs/>
          <w:sz w:val="26"/>
          <w:szCs w:val="26"/>
          <w:rtl/>
        </w:rPr>
        <w:t xml:space="preserve"> </w:t>
      </w:r>
      <w:r w:rsidR="00BB49B9" w:rsidRPr="000822E4">
        <w:rPr>
          <w:rFonts w:hint="cs"/>
          <w:b/>
          <w:bCs/>
          <w:sz w:val="26"/>
          <w:szCs w:val="26"/>
          <w:rtl/>
        </w:rPr>
        <w:t>מס' עמותה</w:t>
      </w:r>
      <w:r w:rsidR="00F957DA" w:rsidRPr="000822E4">
        <w:rPr>
          <w:b/>
          <w:bCs/>
          <w:sz w:val="26"/>
          <w:szCs w:val="26"/>
          <w:rtl/>
        </w:rPr>
        <w:t xml:space="preserve"> </w:t>
      </w:r>
      <w:r w:rsidR="00401C78">
        <w:rPr>
          <w:rFonts w:hint="cs"/>
          <w:b/>
          <w:bCs/>
          <w:sz w:val="26"/>
          <w:szCs w:val="26"/>
          <w:rtl/>
        </w:rPr>
        <w:t>000000000</w:t>
      </w:r>
    </w:p>
    <w:p w:rsidR="000822E4" w:rsidRPr="000822E4" w:rsidRDefault="000822E4" w:rsidP="006816EC">
      <w:pPr>
        <w:suppressLineNumbers/>
        <w:rPr>
          <w:b/>
          <w:bCs/>
          <w:sz w:val="26"/>
          <w:szCs w:val="26"/>
          <w:rtl/>
        </w:rPr>
      </w:pPr>
    </w:p>
    <w:p w:rsidR="00F957DA" w:rsidRPr="000822E4" w:rsidRDefault="000822E4" w:rsidP="00401C78">
      <w:pPr>
        <w:suppressLineNumbers/>
        <w:ind w:left="720" w:right="-426" w:firstLine="720"/>
        <w:rPr>
          <w:b/>
          <w:bCs/>
          <w:sz w:val="26"/>
          <w:szCs w:val="26"/>
          <w:rtl/>
        </w:rPr>
      </w:pPr>
      <w:r>
        <w:rPr>
          <w:rFonts w:hint="cs"/>
          <w:b/>
          <w:bCs/>
          <w:sz w:val="26"/>
          <w:szCs w:val="26"/>
          <w:rtl/>
        </w:rPr>
        <w:t>6.</w:t>
      </w:r>
      <w:r>
        <w:rPr>
          <w:rFonts w:hint="cs"/>
          <w:b/>
          <w:bCs/>
          <w:sz w:val="26"/>
          <w:szCs w:val="26"/>
          <w:rtl/>
        </w:rPr>
        <w:tab/>
      </w:r>
      <w:r w:rsidR="00F957DA" w:rsidRPr="000822E4">
        <w:rPr>
          <w:b/>
          <w:bCs/>
          <w:sz w:val="26"/>
          <w:szCs w:val="26"/>
          <w:rtl/>
        </w:rPr>
        <w:t>אגודת ידידי המרכז הרפואי בני ציון</w:t>
      </w:r>
      <w:r w:rsidR="00BB49B9" w:rsidRPr="000822E4">
        <w:rPr>
          <w:rFonts w:hint="cs"/>
          <w:b/>
          <w:bCs/>
          <w:sz w:val="26"/>
          <w:szCs w:val="26"/>
          <w:rtl/>
        </w:rPr>
        <w:t xml:space="preserve"> </w:t>
      </w:r>
      <w:r w:rsidR="00BB49B9" w:rsidRPr="000822E4">
        <w:rPr>
          <w:b/>
          <w:bCs/>
          <w:sz w:val="26"/>
          <w:szCs w:val="26"/>
          <w:rtl/>
        </w:rPr>
        <w:t>–</w:t>
      </w:r>
      <w:r w:rsidR="00BB49B9" w:rsidRPr="000822E4">
        <w:rPr>
          <w:rFonts w:hint="cs"/>
          <w:b/>
          <w:bCs/>
          <w:sz w:val="26"/>
          <w:szCs w:val="26"/>
          <w:rtl/>
        </w:rPr>
        <w:t xml:space="preserve"> חיפה, מס' עמותה </w:t>
      </w:r>
      <w:r w:rsidR="00401C78">
        <w:rPr>
          <w:rFonts w:hint="cs"/>
          <w:b/>
          <w:bCs/>
          <w:sz w:val="26"/>
          <w:szCs w:val="26"/>
          <w:rtl/>
        </w:rPr>
        <w:t>000000000</w:t>
      </w:r>
    </w:p>
    <w:p w:rsidR="000822E4" w:rsidRPr="000822E4" w:rsidRDefault="000822E4" w:rsidP="006816EC">
      <w:pPr>
        <w:suppressLineNumbers/>
        <w:rPr>
          <w:b/>
          <w:bCs/>
          <w:sz w:val="26"/>
          <w:szCs w:val="26"/>
          <w:rtl/>
        </w:rPr>
      </w:pPr>
    </w:p>
    <w:p w:rsidR="00F957DA" w:rsidRPr="000822E4" w:rsidRDefault="000822E4" w:rsidP="00401C78">
      <w:pPr>
        <w:suppressLineNumbers/>
        <w:spacing w:line="276" w:lineRule="auto"/>
        <w:ind w:left="720" w:firstLine="720"/>
        <w:rPr>
          <w:b/>
          <w:bCs/>
          <w:sz w:val="26"/>
          <w:szCs w:val="26"/>
          <w:rtl/>
        </w:rPr>
      </w:pPr>
      <w:r>
        <w:rPr>
          <w:rFonts w:hint="cs"/>
          <w:b/>
          <w:bCs/>
          <w:sz w:val="26"/>
          <w:szCs w:val="26"/>
          <w:rtl/>
        </w:rPr>
        <w:t>7.</w:t>
      </w:r>
      <w:r>
        <w:rPr>
          <w:rFonts w:hint="cs"/>
          <w:b/>
          <w:bCs/>
          <w:sz w:val="26"/>
          <w:szCs w:val="26"/>
          <w:rtl/>
        </w:rPr>
        <w:tab/>
      </w:r>
      <w:r w:rsidR="00401C78">
        <w:rPr>
          <w:rFonts w:hint="cs"/>
          <w:b/>
          <w:bCs/>
          <w:sz w:val="26"/>
          <w:szCs w:val="26"/>
          <w:rtl/>
        </w:rPr>
        <w:t>אלמוני</w:t>
      </w:r>
    </w:p>
    <w:p w:rsidR="00BB49B9" w:rsidRDefault="00BB49B9" w:rsidP="000822E4">
      <w:pPr>
        <w:suppressLineNumbers/>
        <w:spacing w:line="276" w:lineRule="auto"/>
        <w:ind w:left="1440" w:firstLine="720"/>
        <w:rPr>
          <w:sz w:val="26"/>
          <w:szCs w:val="26"/>
          <w:rtl/>
        </w:rPr>
      </w:pPr>
      <w:r>
        <w:rPr>
          <w:rFonts w:hint="cs"/>
          <w:sz w:val="26"/>
          <w:szCs w:val="26"/>
          <w:rtl/>
        </w:rPr>
        <w:t>(איש הקשר ל</w:t>
      </w:r>
      <w:r w:rsidRPr="00B25A66">
        <w:rPr>
          <w:rFonts w:hint="cs"/>
          <w:b/>
          <w:bCs/>
          <w:sz w:val="26"/>
          <w:szCs w:val="26"/>
          <w:rtl/>
        </w:rPr>
        <w:t>מוזיאון של ארגון יוצאי מרכז אירופה</w:t>
      </w:r>
      <w:r w:rsidR="00B17FE3">
        <w:rPr>
          <w:rFonts w:hint="cs"/>
          <w:sz w:val="26"/>
          <w:szCs w:val="26"/>
          <w:rtl/>
        </w:rPr>
        <w:t xml:space="preserve"> </w:t>
      </w:r>
      <w:r w:rsidR="00B17FE3">
        <w:rPr>
          <w:sz w:val="26"/>
          <w:szCs w:val="26"/>
          <w:rtl/>
        </w:rPr>
        <w:t>–</w:t>
      </w:r>
      <w:r w:rsidR="00B17FE3">
        <w:rPr>
          <w:rFonts w:hint="cs"/>
          <w:sz w:val="26"/>
          <w:szCs w:val="26"/>
          <w:rtl/>
        </w:rPr>
        <w:t xml:space="preserve"> בגוש תפן)</w:t>
      </w:r>
    </w:p>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5536F9" w:rsidRDefault="00005C8B">
            <w:pPr>
              <w:bidi w:val="0"/>
              <w:jc w:val="center"/>
              <w:rPr>
                <w:rFonts w:ascii="Arial" w:hAnsi="Arial"/>
                <w:b/>
                <w:bCs/>
                <w:noProof w:val="0"/>
                <w:sz w:val="36"/>
                <w:szCs w:val="36"/>
                <w:u w:val="single"/>
              </w:rPr>
            </w:pPr>
            <w:r w:rsidRPr="005536F9">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Pr="00D81E83" w:rsidRDefault="00712B1D" w:rsidP="004675BE">
      <w:pPr>
        <w:pStyle w:val="ad"/>
        <w:spacing w:line="360" w:lineRule="auto"/>
        <w:ind w:left="141"/>
        <w:jc w:val="both"/>
        <w:rPr>
          <w:rFonts w:ascii="Arial" w:hAnsi="Arial"/>
          <w:b/>
          <w:bCs/>
          <w:noProof w:val="0"/>
          <w:rtl/>
        </w:rPr>
      </w:pPr>
      <w:r w:rsidRPr="00D81E83">
        <w:rPr>
          <w:rFonts w:ascii="Arial" w:hAnsi="Arial" w:hint="cs"/>
          <w:b/>
          <w:bCs/>
          <w:noProof w:val="0"/>
          <w:rtl/>
        </w:rPr>
        <w:t>הכרעה בבקשת מנהל עזבון המנוח לפסיקת שכר טרחה, לאישור דו"ח ניהול העזבון ולשחרורו מתפקידו.</w:t>
      </w:r>
    </w:p>
    <w:p w:rsidR="00712B1D" w:rsidRDefault="00712B1D" w:rsidP="004675BE">
      <w:pPr>
        <w:spacing w:line="360" w:lineRule="auto"/>
        <w:ind w:left="141" w:hanging="425"/>
        <w:jc w:val="both"/>
        <w:rPr>
          <w:rFonts w:ascii="Arial" w:hAnsi="Arial"/>
          <w:noProof w:val="0"/>
          <w:rtl/>
        </w:rPr>
      </w:pPr>
    </w:p>
    <w:p w:rsidR="00712B1D" w:rsidRPr="004675BE" w:rsidRDefault="00712B1D" w:rsidP="00401C78">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המנוח הלך לעולמו ביום </w:t>
      </w:r>
      <w:r w:rsidR="00401C78">
        <w:rPr>
          <w:rFonts w:ascii="Arial" w:hAnsi="Arial" w:hint="cs"/>
          <w:noProof w:val="0"/>
          <w:rtl/>
        </w:rPr>
        <w:t>00</w:t>
      </w:r>
      <w:r w:rsidRPr="004675BE">
        <w:rPr>
          <w:rFonts w:ascii="Arial" w:hAnsi="Arial" w:hint="cs"/>
          <w:noProof w:val="0"/>
          <w:rtl/>
        </w:rPr>
        <w:t>.</w:t>
      </w:r>
      <w:r w:rsidR="00401C78">
        <w:rPr>
          <w:rFonts w:ascii="Arial" w:hAnsi="Arial" w:hint="cs"/>
          <w:noProof w:val="0"/>
          <w:rtl/>
        </w:rPr>
        <w:t>00</w:t>
      </w:r>
      <w:r w:rsidRPr="004675BE">
        <w:rPr>
          <w:rFonts w:ascii="Arial" w:hAnsi="Arial" w:hint="cs"/>
          <w:noProof w:val="0"/>
          <w:rtl/>
        </w:rPr>
        <w:t>.22 והותיר אחריו צוואה בעדים ותוספת לצוואה</w:t>
      </w:r>
      <w:r w:rsidR="00283D8A" w:rsidRPr="004675BE">
        <w:rPr>
          <w:rFonts w:ascii="Arial" w:hAnsi="Arial" w:hint="cs"/>
          <w:noProof w:val="0"/>
          <w:rtl/>
        </w:rPr>
        <w:t xml:space="preserve"> שאושרו בצו קיום צוואה מיום 14.11.22. במסגרת צוואתו נקב המנוח במבקש כמנהל עזבונו. בהתאם לכך מונה המבקש למנהל העזבון על ידי </w:t>
      </w:r>
      <w:r w:rsidR="001D0EF8">
        <w:rPr>
          <w:rFonts w:ascii="Arial" w:hAnsi="Arial" w:hint="cs"/>
          <w:noProof w:val="0"/>
          <w:rtl/>
        </w:rPr>
        <w:t>ה</w:t>
      </w:r>
      <w:r w:rsidR="00283D8A" w:rsidRPr="004675BE">
        <w:rPr>
          <w:rFonts w:ascii="Arial" w:hAnsi="Arial" w:hint="cs"/>
          <w:noProof w:val="0"/>
          <w:rtl/>
        </w:rPr>
        <w:t xml:space="preserve">רשמת </w:t>
      </w:r>
      <w:r w:rsidR="001D0EF8">
        <w:rPr>
          <w:rFonts w:ascii="Arial" w:hAnsi="Arial" w:hint="cs"/>
          <w:noProof w:val="0"/>
          <w:rtl/>
        </w:rPr>
        <w:t xml:space="preserve">לענייני </w:t>
      </w:r>
      <w:r w:rsidR="00283D8A" w:rsidRPr="004675BE">
        <w:rPr>
          <w:rFonts w:ascii="Arial" w:hAnsi="Arial" w:hint="cs"/>
          <w:noProof w:val="0"/>
          <w:rtl/>
        </w:rPr>
        <w:t xml:space="preserve">ירושה במסגרת הצו האמור. בסעיף 7 לצוואה נקב המנוח בשכר הטרחה לו יזכה </w:t>
      </w:r>
      <w:r w:rsidR="004F6D96" w:rsidRPr="004675BE">
        <w:rPr>
          <w:rFonts w:ascii="Arial" w:hAnsi="Arial" w:hint="cs"/>
          <w:noProof w:val="0"/>
          <w:rtl/>
        </w:rPr>
        <w:t>המבקש</w:t>
      </w:r>
      <w:r w:rsidR="00283D8A" w:rsidRPr="004675BE">
        <w:rPr>
          <w:rFonts w:ascii="Arial" w:hAnsi="Arial" w:hint="cs"/>
          <w:noProof w:val="0"/>
          <w:rtl/>
        </w:rPr>
        <w:t xml:space="preserve"> בזו הלשון:</w:t>
      </w:r>
    </w:p>
    <w:p w:rsidR="0088085E" w:rsidRDefault="0088085E" w:rsidP="004675BE">
      <w:pPr>
        <w:spacing w:line="360" w:lineRule="auto"/>
        <w:ind w:left="141" w:hanging="425"/>
        <w:jc w:val="both"/>
        <w:rPr>
          <w:rFonts w:ascii="Arial" w:hAnsi="Arial"/>
          <w:noProof w:val="0"/>
          <w:rtl/>
        </w:rPr>
      </w:pPr>
    </w:p>
    <w:p w:rsidR="00283D8A" w:rsidRPr="004675BE" w:rsidRDefault="00283D8A" w:rsidP="0031189A">
      <w:pPr>
        <w:pStyle w:val="ad"/>
        <w:spacing w:line="360" w:lineRule="auto"/>
        <w:ind w:left="567" w:right="709"/>
        <w:jc w:val="both"/>
        <w:rPr>
          <w:rFonts w:ascii="Arial" w:hAnsi="Arial"/>
          <w:noProof w:val="0"/>
          <w:rtl/>
        </w:rPr>
      </w:pPr>
      <w:r w:rsidRPr="004675BE">
        <w:rPr>
          <w:rFonts w:ascii="Arial" w:hAnsi="Arial" w:hint="cs"/>
          <w:noProof w:val="0"/>
          <w:rtl/>
        </w:rPr>
        <w:lastRenderedPageBreak/>
        <w:t xml:space="preserve">"[...] </w:t>
      </w:r>
      <w:r w:rsidRPr="004675BE">
        <w:rPr>
          <w:rFonts w:ascii="Arial" w:hAnsi="Arial" w:hint="cs"/>
          <w:b/>
          <w:bCs/>
          <w:noProof w:val="0"/>
          <w:rtl/>
        </w:rPr>
        <w:t>מנהל עזבוני יקבל שכר טרחה עבור ניהול העזבון בשיעור 3% משווי העזבון ועוד 1.5% עבור הוצאת צו קיום צוואה,</w:t>
      </w:r>
      <w:r w:rsidR="0059336B" w:rsidRPr="004675BE">
        <w:rPr>
          <w:rFonts w:ascii="Arial" w:hAnsi="Arial" w:hint="cs"/>
          <w:b/>
          <w:bCs/>
          <w:noProof w:val="0"/>
          <w:rtl/>
        </w:rPr>
        <w:t xml:space="preserve"> סה"כ 4.5% ומע"מ</w:t>
      </w:r>
      <w:r w:rsidR="0059336B" w:rsidRPr="004675BE">
        <w:rPr>
          <w:rFonts w:ascii="Arial" w:hAnsi="Arial" w:hint="cs"/>
          <w:noProof w:val="0"/>
          <w:rtl/>
        </w:rPr>
        <w:t>".</w:t>
      </w:r>
    </w:p>
    <w:p w:rsidR="0059336B" w:rsidRDefault="0059336B" w:rsidP="004675BE">
      <w:pPr>
        <w:spacing w:line="360" w:lineRule="auto"/>
        <w:ind w:left="141" w:hanging="425"/>
        <w:jc w:val="both"/>
        <w:rPr>
          <w:rFonts w:ascii="Arial" w:hAnsi="Arial"/>
          <w:noProof w:val="0"/>
          <w:rtl/>
        </w:rPr>
      </w:pPr>
    </w:p>
    <w:p w:rsidR="0059336B" w:rsidRPr="004675BE" w:rsidRDefault="00331DE4" w:rsidP="004675BE">
      <w:pPr>
        <w:pStyle w:val="ad"/>
        <w:numPr>
          <w:ilvl w:val="0"/>
          <w:numId w:val="1"/>
        </w:numPr>
        <w:spacing w:line="360" w:lineRule="auto"/>
        <w:ind w:left="141" w:hanging="425"/>
        <w:jc w:val="both"/>
        <w:rPr>
          <w:rFonts w:ascii="Arial" w:hAnsi="Arial"/>
          <w:noProof w:val="0"/>
          <w:rtl/>
        </w:rPr>
      </w:pPr>
      <w:r w:rsidRPr="004675BE">
        <w:rPr>
          <w:rFonts w:ascii="Arial" w:hAnsi="Arial" w:hint="cs"/>
          <w:b/>
          <w:bCs/>
          <w:noProof w:val="0"/>
          <w:u w:val="single"/>
          <w:rtl/>
        </w:rPr>
        <w:t>תמצית הוראות הצוואה</w:t>
      </w:r>
      <w:r w:rsidR="0059336B" w:rsidRPr="004675BE">
        <w:rPr>
          <w:rFonts w:ascii="Arial" w:hAnsi="Arial" w:hint="cs"/>
          <w:noProof w:val="0"/>
          <w:rtl/>
        </w:rPr>
        <w:t xml:space="preserve">: </w:t>
      </w:r>
      <w:r w:rsidR="0088085E" w:rsidRPr="004675BE">
        <w:rPr>
          <w:rFonts w:ascii="Arial" w:hAnsi="Arial" w:hint="cs"/>
          <w:noProof w:val="0"/>
          <w:rtl/>
        </w:rPr>
        <w:t xml:space="preserve">המשיבה מס' 2 תזכה בסכום </w:t>
      </w:r>
      <w:r w:rsidR="0059336B" w:rsidRPr="004675BE">
        <w:rPr>
          <w:rFonts w:ascii="Arial" w:hAnsi="Arial" w:hint="cs"/>
          <w:noProof w:val="0"/>
          <w:rtl/>
        </w:rPr>
        <w:t>של 400,000 ₪; המשיבה מס' 3 תזכה בתכולת הדירה; למוזיאון של ארגון יוצאי מרכז אירופה בגוש תפן (</w:t>
      </w:r>
      <w:r w:rsidRPr="004675BE">
        <w:rPr>
          <w:rFonts w:ascii="Arial" w:hAnsi="Arial" w:hint="cs"/>
          <w:noProof w:val="0"/>
          <w:rtl/>
        </w:rPr>
        <w:t xml:space="preserve">באמצעות </w:t>
      </w:r>
      <w:r w:rsidR="0059336B" w:rsidRPr="004675BE">
        <w:rPr>
          <w:rFonts w:ascii="Arial" w:hAnsi="Arial" w:hint="cs"/>
          <w:noProof w:val="0"/>
          <w:rtl/>
        </w:rPr>
        <w:t xml:space="preserve">המשיב מס' 7), ציווה המנוח שני עיטורים ופריטים נוספים; לקרן הצדקה </w:t>
      </w:r>
      <w:r w:rsidR="00D72EC3" w:rsidRPr="004675BE">
        <w:rPr>
          <w:rFonts w:ascii="Arial" w:hAnsi="Arial" w:hint="cs"/>
          <w:noProof w:val="0"/>
          <w:rtl/>
        </w:rPr>
        <w:t xml:space="preserve">של ארגון עולי מרכז אירופה (המשיבה מס' 5) ציווה </w:t>
      </w:r>
      <w:r w:rsidR="0088085E" w:rsidRPr="004675BE">
        <w:rPr>
          <w:rFonts w:ascii="Arial" w:hAnsi="Arial" w:hint="cs"/>
          <w:noProof w:val="0"/>
          <w:rtl/>
        </w:rPr>
        <w:t xml:space="preserve">המנוח </w:t>
      </w:r>
      <w:r w:rsidR="00D72EC3" w:rsidRPr="004675BE">
        <w:rPr>
          <w:rFonts w:ascii="Arial" w:hAnsi="Arial" w:hint="cs"/>
          <w:noProof w:val="0"/>
          <w:rtl/>
        </w:rPr>
        <w:t>את כל הכספים שיעמדו לזכות</w:t>
      </w:r>
      <w:r w:rsidR="0088085E" w:rsidRPr="004675BE">
        <w:rPr>
          <w:rFonts w:ascii="Arial" w:hAnsi="Arial" w:hint="cs"/>
          <w:noProof w:val="0"/>
          <w:rtl/>
        </w:rPr>
        <w:t>ו</w:t>
      </w:r>
      <w:r w:rsidR="00D72EC3" w:rsidRPr="004675BE">
        <w:rPr>
          <w:rFonts w:ascii="Arial" w:hAnsi="Arial" w:hint="cs"/>
          <w:noProof w:val="0"/>
          <w:rtl/>
        </w:rPr>
        <w:t xml:space="preserve"> מהתקשרותו עם הדיור המוגן בו התגורר. כמו כן, סכום המיועד לרווחת כלל העובדים בדיור המוגן; לאגודת ידידי המרכז הרפואי בני ציון (המשיבה מס' 6) ציווה המנוח את  יתרת עזבונו; בתוספת לצוואה גרע המנוח 150,000 ₪ ממנתה</w:t>
      </w:r>
      <w:r w:rsidR="008C388D">
        <w:rPr>
          <w:rFonts w:ascii="David" w:hAnsi="David"/>
          <w:noProof w:val="0"/>
          <w:rtl/>
        </w:rPr>
        <w:t>ּ</w:t>
      </w:r>
      <w:r w:rsidR="00D72EC3" w:rsidRPr="004675BE">
        <w:rPr>
          <w:rFonts w:ascii="Arial" w:hAnsi="Arial" w:hint="cs"/>
          <w:noProof w:val="0"/>
          <w:rtl/>
        </w:rPr>
        <w:t xml:space="preserve"> של המשיבה מס' 2</w:t>
      </w:r>
      <w:r w:rsidR="004F6D96" w:rsidRPr="004675BE">
        <w:rPr>
          <w:rFonts w:ascii="Arial" w:hAnsi="Arial" w:hint="cs"/>
          <w:noProof w:val="0"/>
          <w:rtl/>
        </w:rPr>
        <w:t xml:space="preserve"> לעיל</w:t>
      </w:r>
      <w:r w:rsidR="00D72EC3" w:rsidRPr="004675BE">
        <w:rPr>
          <w:rFonts w:ascii="Arial" w:hAnsi="Arial" w:hint="cs"/>
          <w:noProof w:val="0"/>
          <w:rtl/>
        </w:rPr>
        <w:t xml:space="preserve">, וציווה אותם </w:t>
      </w:r>
      <w:r w:rsidRPr="004675BE">
        <w:rPr>
          <w:rFonts w:ascii="Arial" w:hAnsi="Arial" w:hint="cs"/>
          <w:noProof w:val="0"/>
          <w:rtl/>
        </w:rPr>
        <w:t>למשיבה מס' 4 (קטינה, באמצעות הוריה).</w:t>
      </w:r>
    </w:p>
    <w:p w:rsidR="00331DE4" w:rsidRDefault="00331DE4" w:rsidP="004675BE">
      <w:pPr>
        <w:spacing w:line="360" w:lineRule="auto"/>
        <w:ind w:left="141" w:hanging="425"/>
        <w:jc w:val="both"/>
        <w:rPr>
          <w:rFonts w:ascii="Arial" w:hAnsi="Arial"/>
          <w:noProof w:val="0"/>
          <w:rtl/>
        </w:rPr>
      </w:pPr>
    </w:p>
    <w:p w:rsidR="00331DE4" w:rsidRPr="004675BE" w:rsidRDefault="00331DE4" w:rsidP="004675BE">
      <w:pPr>
        <w:pStyle w:val="ad"/>
        <w:numPr>
          <w:ilvl w:val="0"/>
          <w:numId w:val="1"/>
        </w:numPr>
        <w:spacing w:line="360" w:lineRule="auto"/>
        <w:ind w:left="141" w:hanging="425"/>
        <w:jc w:val="both"/>
        <w:rPr>
          <w:rFonts w:ascii="Arial" w:hAnsi="Arial"/>
          <w:b/>
          <w:bCs/>
          <w:noProof w:val="0"/>
          <w:u w:val="single"/>
          <w:rtl/>
        </w:rPr>
      </w:pPr>
      <w:r w:rsidRPr="004675BE">
        <w:rPr>
          <w:rFonts w:ascii="Arial" w:hAnsi="Arial" w:hint="cs"/>
          <w:b/>
          <w:bCs/>
          <w:noProof w:val="0"/>
          <w:u w:val="single"/>
          <w:rtl/>
        </w:rPr>
        <w:t xml:space="preserve">תמצית </w:t>
      </w:r>
      <w:r w:rsidR="0088085E" w:rsidRPr="004675BE">
        <w:rPr>
          <w:rFonts w:ascii="Arial" w:hAnsi="Arial" w:hint="cs"/>
          <w:b/>
          <w:bCs/>
          <w:noProof w:val="0"/>
          <w:u w:val="single"/>
          <w:rtl/>
        </w:rPr>
        <w:t>טענות המבקש</w:t>
      </w:r>
      <w:r w:rsidRPr="004675BE">
        <w:rPr>
          <w:rFonts w:ascii="Arial" w:hAnsi="Arial" w:hint="cs"/>
          <w:b/>
          <w:bCs/>
          <w:noProof w:val="0"/>
          <w:u w:val="single"/>
          <w:rtl/>
        </w:rPr>
        <w:t xml:space="preserve"> ודו"ח ניהול העזבון</w:t>
      </w:r>
    </w:p>
    <w:p w:rsidR="00331DE4" w:rsidRDefault="00331DE4" w:rsidP="004675BE">
      <w:pPr>
        <w:spacing w:line="360" w:lineRule="auto"/>
        <w:ind w:left="141" w:hanging="425"/>
        <w:jc w:val="both"/>
        <w:rPr>
          <w:rFonts w:ascii="Arial" w:hAnsi="Arial"/>
          <w:noProof w:val="0"/>
          <w:rtl/>
        </w:rPr>
      </w:pPr>
    </w:p>
    <w:p w:rsidR="00076818" w:rsidRPr="004675BE" w:rsidRDefault="00331DE4" w:rsidP="004675BE">
      <w:pPr>
        <w:pStyle w:val="ad"/>
        <w:numPr>
          <w:ilvl w:val="0"/>
          <w:numId w:val="2"/>
        </w:numPr>
        <w:spacing w:line="360" w:lineRule="auto"/>
        <w:ind w:left="567"/>
        <w:jc w:val="both"/>
        <w:rPr>
          <w:rFonts w:ascii="Arial" w:hAnsi="Arial"/>
          <w:noProof w:val="0"/>
          <w:rtl/>
        </w:rPr>
      </w:pPr>
      <w:r w:rsidRPr="004675BE">
        <w:rPr>
          <w:rFonts w:ascii="Arial" w:hAnsi="Arial" w:hint="cs"/>
          <w:noProof w:val="0"/>
          <w:u w:val="single"/>
          <w:rtl/>
        </w:rPr>
        <w:t>סידור ההלוויה והקבורה, והגשת בקשה לצו קיום צוואה</w:t>
      </w:r>
      <w:r w:rsidRPr="004675BE">
        <w:rPr>
          <w:rFonts w:ascii="Arial" w:hAnsi="Arial" w:hint="cs"/>
          <w:noProof w:val="0"/>
          <w:rtl/>
        </w:rPr>
        <w:t>: המנוח הלך לעולמו ערירי והמבקש דאג לכל סידורי ההלוויה והקמת המצבה. בנוסף</w:t>
      </w:r>
      <w:r w:rsidR="00076818" w:rsidRPr="004675BE">
        <w:rPr>
          <w:rFonts w:ascii="Arial" w:hAnsi="Arial" w:hint="cs"/>
          <w:noProof w:val="0"/>
          <w:rtl/>
        </w:rPr>
        <w:t xml:space="preserve"> נשא באגרות להגשת בקשה למתן צו לקיום צוואה ומינוי מנהל עזבון. סך ההוצאות בגין רכיב זה: 8,292 ₪.</w:t>
      </w:r>
    </w:p>
    <w:p w:rsidR="00076818" w:rsidRDefault="00076818" w:rsidP="004675BE">
      <w:pPr>
        <w:spacing w:line="360" w:lineRule="auto"/>
        <w:ind w:left="567" w:hanging="425"/>
        <w:jc w:val="both"/>
        <w:rPr>
          <w:rFonts w:ascii="Arial" w:hAnsi="Arial"/>
          <w:noProof w:val="0"/>
          <w:rtl/>
        </w:rPr>
      </w:pPr>
    </w:p>
    <w:p w:rsidR="00076818" w:rsidRPr="004675BE" w:rsidRDefault="004675BE" w:rsidP="004675BE">
      <w:pPr>
        <w:pStyle w:val="ad"/>
        <w:numPr>
          <w:ilvl w:val="0"/>
          <w:numId w:val="2"/>
        </w:numPr>
        <w:spacing w:line="360" w:lineRule="auto"/>
        <w:ind w:left="567"/>
        <w:jc w:val="both"/>
        <w:rPr>
          <w:rFonts w:ascii="Arial" w:hAnsi="Arial"/>
          <w:noProof w:val="0"/>
          <w:rtl/>
        </w:rPr>
      </w:pPr>
      <w:r>
        <w:rPr>
          <w:rFonts w:ascii="Arial" w:hAnsi="Arial" w:hint="cs"/>
          <w:noProof w:val="0"/>
          <w:u w:val="single"/>
          <w:rtl/>
        </w:rPr>
        <w:t>יחידת הדיור בדיור</w:t>
      </w:r>
      <w:r w:rsidR="00076818" w:rsidRPr="004675BE">
        <w:rPr>
          <w:rFonts w:ascii="Arial" w:hAnsi="Arial" w:hint="cs"/>
          <w:noProof w:val="0"/>
          <w:u w:val="single"/>
          <w:rtl/>
        </w:rPr>
        <w:t xml:space="preserve"> מוגן</w:t>
      </w:r>
      <w:r w:rsidR="00076818" w:rsidRPr="004675BE">
        <w:rPr>
          <w:rFonts w:ascii="Arial" w:hAnsi="Arial" w:hint="cs"/>
          <w:noProof w:val="0"/>
          <w:rtl/>
        </w:rPr>
        <w:t>: המבקש דאג לפינוי הדירה והשבתה לדיור המוגן, מסר את התכולה למשיבה מס' 3, ואת העיטורים והפריטים הנוספים למשיב מס' 7. לבקשה צורפו אישורים מטעם שני האחרונים לקבלת מנתם</w:t>
      </w:r>
      <w:r w:rsidR="00247F42" w:rsidRPr="004675BE">
        <w:rPr>
          <w:rFonts w:ascii="Arial" w:hAnsi="Arial" w:hint="cs"/>
          <w:noProof w:val="0"/>
          <w:rtl/>
        </w:rPr>
        <w:t>, ואישור המשיבה מס' 3 לשכ"ט המבוקש.</w:t>
      </w:r>
    </w:p>
    <w:p w:rsidR="00076818" w:rsidRDefault="00076818" w:rsidP="004675BE">
      <w:pPr>
        <w:spacing w:line="360" w:lineRule="auto"/>
        <w:ind w:left="567" w:hanging="425"/>
        <w:jc w:val="both"/>
        <w:rPr>
          <w:rFonts w:ascii="Arial" w:hAnsi="Arial"/>
          <w:noProof w:val="0"/>
          <w:rtl/>
        </w:rPr>
      </w:pPr>
    </w:p>
    <w:p w:rsidR="00076818" w:rsidRPr="004675BE" w:rsidRDefault="00076818" w:rsidP="004675BE">
      <w:pPr>
        <w:pStyle w:val="ad"/>
        <w:numPr>
          <w:ilvl w:val="0"/>
          <w:numId w:val="2"/>
        </w:numPr>
        <w:spacing w:line="360" w:lineRule="auto"/>
        <w:ind w:left="567"/>
        <w:jc w:val="both"/>
        <w:rPr>
          <w:rFonts w:ascii="Arial" w:hAnsi="Arial"/>
          <w:noProof w:val="0"/>
          <w:rtl/>
        </w:rPr>
      </w:pPr>
      <w:r w:rsidRPr="004675BE">
        <w:rPr>
          <w:rFonts w:ascii="Arial" w:hAnsi="Arial" w:hint="cs"/>
          <w:noProof w:val="0"/>
          <w:u w:val="single"/>
          <w:rtl/>
        </w:rPr>
        <w:t>העובד הסיעודי</w:t>
      </w:r>
      <w:r w:rsidRPr="004675BE">
        <w:rPr>
          <w:rFonts w:ascii="Arial" w:hAnsi="Arial" w:hint="cs"/>
          <w:noProof w:val="0"/>
          <w:rtl/>
        </w:rPr>
        <w:t>: המבקש טיפל בסיום העסקתו ושילם לו את זכויותיו על פי דין בסך 25,248.75 ₪. לבקשה צורפו העתקי חישוב הזכויות ואישור העברה</w:t>
      </w:r>
      <w:r w:rsidR="0088085E" w:rsidRPr="004675BE">
        <w:rPr>
          <w:rFonts w:ascii="Arial" w:hAnsi="Arial" w:hint="cs"/>
          <w:noProof w:val="0"/>
          <w:rtl/>
        </w:rPr>
        <w:t xml:space="preserve"> בנקאית</w:t>
      </w:r>
      <w:r w:rsidRPr="004675BE">
        <w:rPr>
          <w:rFonts w:ascii="Arial" w:hAnsi="Arial" w:hint="cs"/>
          <w:noProof w:val="0"/>
          <w:rtl/>
        </w:rPr>
        <w:t>.</w:t>
      </w:r>
    </w:p>
    <w:p w:rsidR="00076818" w:rsidRDefault="00076818" w:rsidP="004675BE">
      <w:pPr>
        <w:spacing w:line="360" w:lineRule="auto"/>
        <w:ind w:left="567" w:hanging="425"/>
        <w:jc w:val="both"/>
        <w:rPr>
          <w:rFonts w:ascii="Arial" w:hAnsi="Arial"/>
          <w:noProof w:val="0"/>
          <w:rtl/>
        </w:rPr>
      </w:pPr>
    </w:p>
    <w:p w:rsidR="00281B8C" w:rsidRPr="004675BE" w:rsidRDefault="00281B8C" w:rsidP="004675BE">
      <w:pPr>
        <w:pStyle w:val="ad"/>
        <w:numPr>
          <w:ilvl w:val="0"/>
          <w:numId w:val="2"/>
        </w:numPr>
        <w:spacing w:line="360" w:lineRule="auto"/>
        <w:ind w:left="567"/>
        <w:jc w:val="both"/>
        <w:rPr>
          <w:rFonts w:ascii="Arial" w:hAnsi="Arial"/>
          <w:noProof w:val="0"/>
          <w:rtl/>
        </w:rPr>
      </w:pPr>
      <w:r w:rsidRPr="004675BE">
        <w:rPr>
          <w:rFonts w:ascii="Arial" w:hAnsi="Arial" w:hint="cs"/>
          <w:noProof w:val="0"/>
          <w:u w:val="single"/>
          <w:rtl/>
        </w:rPr>
        <w:t>זכויו</w:t>
      </w:r>
      <w:r w:rsidR="00076818" w:rsidRPr="004675BE">
        <w:rPr>
          <w:rFonts w:ascii="Arial" w:hAnsi="Arial" w:hint="cs"/>
          <w:noProof w:val="0"/>
          <w:u w:val="single"/>
          <w:rtl/>
        </w:rPr>
        <w:t xml:space="preserve">ת כספיות </w:t>
      </w:r>
      <w:r w:rsidR="0061300C" w:rsidRPr="004675BE">
        <w:rPr>
          <w:rFonts w:ascii="Arial" w:hAnsi="Arial" w:hint="cs"/>
          <w:noProof w:val="0"/>
          <w:u w:val="single"/>
          <w:rtl/>
        </w:rPr>
        <w:t>של העזבון</w:t>
      </w:r>
      <w:r w:rsidR="0061300C" w:rsidRPr="004675BE">
        <w:rPr>
          <w:rFonts w:ascii="Arial" w:hAnsi="Arial" w:hint="cs"/>
          <w:noProof w:val="0"/>
          <w:rtl/>
        </w:rPr>
        <w:t xml:space="preserve">: </w:t>
      </w:r>
      <w:r w:rsidR="004F6D96" w:rsidRPr="004675BE">
        <w:rPr>
          <w:rFonts w:ascii="Arial" w:hAnsi="Arial" w:hint="cs"/>
          <w:noProof w:val="0"/>
          <w:rtl/>
        </w:rPr>
        <w:t xml:space="preserve">העזבון כולל כסף </w:t>
      </w:r>
      <w:r w:rsidR="001D0EF8">
        <w:rPr>
          <w:rFonts w:ascii="Arial" w:hAnsi="Arial" w:hint="cs"/>
          <w:noProof w:val="0"/>
          <w:rtl/>
        </w:rPr>
        <w:t>מזומן; כספים שהתקבלו מהדיור</w:t>
      </w:r>
      <w:r w:rsidR="0061300C" w:rsidRPr="004675BE">
        <w:rPr>
          <w:rFonts w:ascii="Arial" w:hAnsi="Arial" w:hint="cs"/>
          <w:noProof w:val="0"/>
          <w:rtl/>
        </w:rPr>
        <w:t xml:space="preserve"> המוגן; כספים בחשבונות בנק. המבקש ריכז את הכספים, מכר את ניירות הערך ויתרות המט"ח ו</w:t>
      </w:r>
      <w:r w:rsidR="0088085E" w:rsidRPr="004675BE">
        <w:rPr>
          <w:rFonts w:ascii="Arial" w:hAnsi="Arial" w:hint="cs"/>
          <w:noProof w:val="0"/>
          <w:rtl/>
        </w:rPr>
        <w:t>הפקידם</w:t>
      </w:r>
      <w:r w:rsidR="0061300C" w:rsidRPr="004675BE">
        <w:rPr>
          <w:rFonts w:ascii="Arial" w:hAnsi="Arial" w:hint="cs"/>
          <w:noProof w:val="0"/>
          <w:rtl/>
        </w:rPr>
        <w:t xml:space="preserve"> בחשבון </w:t>
      </w:r>
      <w:r w:rsidR="0088085E" w:rsidRPr="004675BE">
        <w:rPr>
          <w:rFonts w:ascii="Arial" w:hAnsi="Arial" w:hint="cs"/>
          <w:noProof w:val="0"/>
          <w:rtl/>
        </w:rPr>
        <w:t xml:space="preserve">בנק </w:t>
      </w:r>
      <w:r w:rsidR="0061300C" w:rsidRPr="004675BE">
        <w:rPr>
          <w:rFonts w:ascii="Arial" w:hAnsi="Arial" w:hint="cs"/>
          <w:noProof w:val="0"/>
          <w:rtl/>
        </w:rPr>
        <w:t xml:space="preserve">אחד. </w:t>
      </w:r>
      <w:r w:rsidR="0088085E" w:rsidRPr="004675BE">
        <w:rPr>
          <w:rFonts w:ascii="Arial" w:hAnsi="Arial" w:hint="cs"/>
          <w:noProof w:val="0"/>
          <w:rtl/>
        </w:rPr>
        <w:t xml:space="preserve">שיעור </w:t>
      </w:r>
      <w:r w:rsidR="0061300C" w:rsidRPr="004675BE">
        <w:rPr>
          <w:rFonts w:ascii="Arial" w:hAnsi="Arial" w:hint="cs"/>
          <w:noProof w:val="0"/>
          <w:rtl/>
        </w:rPr>
        <w:t xml:space="preserve">סך כל הזכויות הכספיות 4,395,390.48 ₪ (לאחר הפחתת ההוצאות שנמנו לעיל). לבקשה צורפו דפי חשבון וסימוכין לפעולות האמורות. </w:t>
      </w:r>
    </w:p>
    <w:p w:rsidR="00281B8C" w:rsidRDefault="00281B8C" w:rsidP="004675BE">
      <w:pPr>
        <w:spacing w:line="360" w:lineRule="auto"/>
        <w:ind w:left="567" w:hanging="425"/>
        <w:jc w:val="both"/>
        <w:rPr>
          <w:rFonts w:ascii="Arial" w:hAnsi="Arial"/>
          <w:noProof w:val="0"/>
          <w:rtl/>
        </w:rPr>
      </w:pPr>
    </w:p>
    <w:p w:rsidR="00331DE4" w:rsidRPr="004675BE" w:rsidRDefault="0061300C" w:rsidP="004675BE">
      <w:pPr>
        <w:pStyle w:val="ad"/>
        <w:numPr>
          <w:ilvl w:val="0"/>
          <w:numId w:val="2"/>
        </w:numPr>
        <w:spacing w:line="360" w:lineRule="auto"/>
        <w:ind w:left="567"/>
        <w:jc w:val="both"/>
        <w:rPr>
          <w:rFonts w:ascii="Arial" w:hAnsi="Arial"/>
          <w:noProof w:val="0"/>
          <w:rtl/>
        </w:rPr>
      </w:pPr>
      <w:r w:rsidRPr="004675BE">
        <w:rPr>
          <w:rFonts w:ascii="Arial" w:hAnsi="Arial" w:hint="cs"/>
          <w:noProof w:val="0"/>
          <w:u w:val="single"/>
          <w:rtl/>
        </w:rPr>
        <w:t xml:space="preserve">שווי העזבון </w:t>
      </w:r>
      <w:r w:rsidR="00281B8C" w:rsidRPr="004675BE">
        <w:rPr>
          <w:rFonts w:ascii="Arial" w:hAnsi="Arial" w:hint="cs"/>
          <w:noProof w:val="0"/>
          <w:u w:val="single"/>
          <w:rtl/>
        </w:rPr>
        <w:t>לצורך חישוב שכ"ט</w:t>
      </w:r>
      <w:r w:rsidR="00281B8C" w:rsidRPr="004675BE">
        <w:rPr>
          <w:rFonts w:ascii="Arial" w:hAnsi="Arial" w:hint="cs"/>
          <w:noProof w:val="0"/>
          <w:rtl/>
        </w:rPr>
        <w:t xml:space="preserve">: </w:t>
      </w:r>
      <w:r w:rsidR="0088085E" w:rsidRPr="004675BE">
        <w:rPr>
          <w:rFonts w:ascii="Arial" w:hAnsi="Arial" w:hint="cs"/>
          <w:noProof w:val="0"/>
          <w:rtl/>
        </w:rPr>
        <w:t xml:space="preserve">שווי העזבון </w:t>
      </w:r>
      <w:r w:rsidRPr="004675BE">
        <w:rPr>
          <w:rFonts w:ascii="Arial" w:hAnsi="Arial" w:hint="cs"/>
          <w:noProof w:val="0"/>
          <w:rtl/>
        </w:rPr>
        <w:t xml:space="preserve">לפני סילוק ההוצאות הוא </w:t>
      </w:r>
      <w:r w:rsidRPr="004675BE">
        <w:rPr>
          <w:rFonts w:ascii="Arial" w:hAnsi="Arial" w:hint="cs"/>
          <w:b/>
          <w:bCs/>
          <w:noProof w:val="0"/>
          <w:rtl/>
        </w:rPr>
        <w:t>4,438,668.23 ₪</w:t>
      </w:r>
      <w:r w:rsidRPr="004675BE">
        <w:rPr>
          <w:rFonts w:ascii="Arial" w:hAnsi="Arial" w:hint="cs"/>
          <w:noProof w:val="0"/>
          <w:rtl/>
        </w:rPr>
        <w:t>.</w:t>
      </w:r>
      <w:r w:rsidR="00281B8C" w:rsidRPr="004675BE">
        <w:rPr>
          <w:rFonts w:ascii="Arial" w:hAnsi="Arial" w:hint="cs"/>
          <w:noProof w:val="0"/>
          <w:rtl/>
        </w:rPr>
        <w:t xml:space="preserve"> המבקש גזר שיעור של 4.5% משווי העזבון בהתאם להוראות הצוואה, והעמידו על סך 233,695 ₪ (כולל מע"מ).</w:t>
      </w:r>
    </w:p>
    <w:p w:rsidR="00281B8C" w:rsidRDefault="00281B8C" w:rsidP="004675BE">
      <w:pPr>
        <w:spacing w:line="360" w:lineRule="auto"/>
        <w:ind w:left="567" w:hanging="425"/>
        <w:jc w:val="both"/>
        <w:rPr>
          <w:rFonts w:ascii="Arial" w:hAnsi="Arial"/>
          <w:noProof w:val="0"/>
          <w:rtl/>
        </w:rPr>
      </w:pPr>
    </w:p>
    <w:p w:rsidR="00281B8C" w:rsidRPr="004675BE" w:rsidRDefault="00281B8C" w:rsidP="004675BE">
      <w:pPr>
        <w:pStyle w:val="ad"/>
        <w:numPr>
          <w:ilvl w:val="0"/>
          <w:numId w:val="2"/>
        </w:numPr>
        <w:spacing w:line="360" w:lineRule="auto"/>
        <w:ind w:left="567"/>
        <w:jc w:val="both"/>
        <w:rPr>
          <w:rFonts w:ascii="Arial" w:hAnsi="Arial"/>
          <w:noProof w:val="0"/>
          <w:rtl/>
        </w:rPr>
      </w:pPr>
      <w:r w:rsidRPr="004675BE">
        <w:rPr>
          <w:rFonts w:ascii="Arial" w:hAnsi="Arial" w:hint="cs"/>
          <w:noProof w:val="0"/>
          <w:u w:val="single"/>
          <w:rtl/>
        </w:rPr>
        <w:lastRenderedPageBreak/>
        <w:t>חלוקת העזבון והסכמת היורשים</w:t>
      </w:r>
      <w:r w:rsidRPr="004675BE">
        <w:rPr>
          <w:rFonts w:ascii="Arial" w:hAnsi="Arial" w:hint="cs"/>
          <w:noProof w:val="0"/>
          <w:rtl/>
        </w:rPr>
        <w:t xml:space="preserve">: </w:t>
      </w:r>
      <w:r w:rsidR="00C654D6" w:rsidRPr="004675BE">
        <w:rPr>
          <w:rFonts w:ascii="Arial" w:hAnsi="Arial" w:hint="cs"/>
          <w:noProof w:val="0"/>
          <w:rtl/>
        </w:rPr>
        <w:t>לבקשה צורפו סימוכין לקבלת מנתה של המשיבה מס' 2, בהפחתת חלקה</w:t>
      </w:r>
      <w:r w:rsidR="004F6D96" w:rsidRPr="004675BE">
        <w:rPr>
          <w:rFonts w:ascii="David" w:hAnsi="David"/>
          <w:noProof w:val="0"/>
          <w:rtl/>
        </w:rPr>
        <w:t>ּ</w:t>
      </w:r>
      <w:r w:rsidR="00C654D6" w:rsidRPr="004675BE">
        <w:rPr>
          <w:rFonts w:ascii="Arial" w:hAnsi="Arial" w:hint="cs"/>
          <w:noProof w:val="0"/>
          <w:rtl/>
        </w:rPr>
        <w:t xml:space="preserve"> היחסי בהוצאות, וכן אישורה והסכמתה לשכ"ט המבוקש; להעברת מנתה של המשיבה מס' 4</w:t>
      </w:r>
      <w:r w:rsidR="00866E47" w:rsidRPr="004675BE">
        <w:rPr>
          <w:rFonts w:ascii="Arial" w:hAnsi="Arial" w:hint="cs"/>
          <w:noProof w:val="0"/>
          <w:rtl/>
        </w:rPr>
        <w:t xml:space="preserve"> </w:t>
      </w:r>
      <w:r w:rsidR="00C654D6" w:rsidRPr="004675BE">
        <w:rPr>
          <w:rFonts w:ascii="Arial" w:hAnsi="Arial" w:hint="cs"/>
          <w:noProof w:val="0"/>
          <w:rtl/>
        </w:rPr>
        <w:t xml:space="preserve">(קטינה) </w:t>
      </w:r>
      <w:r w:rsidR="00866E47" w:rsidRPr="004675BE">
        <w:rPr>
          <w:rFonts w:ascii="Arial" w:hAnsi="Arial" w:hint="cs"/>
          <w:noProof w:val="0"/>
          <w:rtl/>
        </w:rPr>
        <w:t>לאחר הפחתת חלקה</w:t>
      </w:r>
      <w:r w:rsidR="004F6D96" w:rsidRPr="004675BE">
        <w:rPr>
          <w:rFonts w:ascii="David" w:hAnsi="David"/>
          <w:noProof w:val="0"/>
          <w:rtl/>
        </w:rPr>
        <w:t>ּ</w:t>
      </w:r>
      <w:r w:rsidR="00866E47" w:rsidRPr="004675BE">
        <w:rPr>
          <w:rFonts w:ascii="Arial" w:hAnsi="Arial" w:hint="cs"/>
          <w:noProof w:val="0"/>
          <w:rtl/>
        </w:rPr>
        <w:t xml:space="preserve"> בהוצאות, </w:t>
      </w:r>
      <w:r w:rsidR="00C654D6" w:rsidRPr="004675BE">
        <w:rPr>
          <w:rFonts w:ascii="Arial" w:hAnsi="Arial" w:hint="cs"/>
          <w:noProof w:val="0"/>
          <w:rtl/>
        </w:rPr>
        <w:t>באמצעות הוריה והסכמתם למבוקש; להעברת מנתה של המשיבה מס' 5 לרבות המנה המיועדת לעובדי הדיור המוגן</w:t>
      </w:r>
      <w:r w:rsidR="00866E47" w:rsidRPr="004675BE">
        <w:rPr>
          <w:rFonts w:ascii="Arial" w:hAnsi="Arial" w:hint="cs"/>
          <w:noProof w:val="0"/>
          <w:rtl/>
        </w:rPr>
        <w:t>, בהפחתת חלקה</w:t>
      </w:r>
      <w:r w:rsidR="004F6D96" w:rsidRPr="004675BE">
        <w:rPr>
          <w:rFonts w:ascii="David" w:hAnsi="David"/>
          <w:noProof w:val="0"/>
          <w:rtl/>
        </w:rPr>
        <w:t>ּ</w:t>
      </w:r>
      <w:r w:rsidR="00866E47" w:rsidRPr="004675BE">
        <w:rPr>
          <w:rFonts w:ascii="Arial" w:hAnsi="Arial" w:hint="cs"/>
          <w:noProof w:val="0"/>
          <w:rtl/>
        </w:rPr>
        <w:t xml:space="preserve"> בהוצאות</w:t>
      </w:r>
      <w:r w:rsidR="004F6D96" w:rsidRPr="004675BE">
        <w:rPr>
          <w:rFonts w:ascii="Arial" w:hAnsi="Arial" w:hint="cs"/>
          <w:noProof w:val="0"/>
          <w:rtl/>
        </w:rPr>
        <w:t>,</w:t>
      </w:r>
      <w:r w:rsidR="00866E47" w:rsidRPr="004675BE">
        <w:rPr>
          <w:rFonts w:ascii="Arial" w:hAnsi="Arial" w:hint="cs"/>
          <w:noProof w:val="0"/>
          <w:rtl/>
        </w:rPr>
        <w:t xml:space="preserve"> ולאישורה והסכמתה למבוקש. עוד צורפה התחייבותה למילוי הוראות הצוואה</w:t>
      </w:r>
      <w:r w:rsidR="004F6D96" w:rsidRPr="004675BE">
        <w:rPr>
          <w:rFonts w:ascii="Arial" w:hAnsi="Arial" w:hint="cs"/>
          <w:noProof w:val="0"/>
          <w:rtl/>
        </w:rPr>
        <w:t xml:space="preserve"> הנוגעות לה</w:t>
      </w:r>
      <w:r w:rsidR="00866E47" w:rsidRPr="004675BE">
        <w:rPr>
          <w:rFonts w:ascii="Arial" w:hAnsi="Arial" w:hint="cs"/>
          <w:noProof w:val="0"/>
          <w:rtl/>
        </w:rPr>
        <w:t>; להעברת מנתה של המשיבה מס' 6 הזוכה ביתרת העזבון, התחייבותה למלא אחר הוראות הצוואה ואישורה לשכ"ט המבוקש</w:t>
      </w:r>
      <w:r w:rsidR="00247F42" w:rsidRPr="004675BE">
        <w:rPr>
          <w:rFonts w:ascii="Arial" w:hAnsi="Arial" w:hint="cs"/>
          <w:noProof w:val="0"/>
          <w:rtl/>
        </w:rPr>
        <w:t>;</w:t>
      </w:r>
      <w:r w:rsidR="004B2EAE" w:rsidRPr="004675BE">
        <w:rPr>
          <w:rFonts w:ascii="Arial" w:hAnsi="Arial" w:hint="cs"/>
          <w:noProof w:val="0"/>
          <w:rtl/>
        </w:rPr>
        <w:t xml:space="preserve"> </w:t>
      </w:r>
      <w:r w:rsidR="00247F42" w:rsidRPr="004675BE">
        <w:rPr>
          <w:rFonts w:ascii="Arial" w:hAnsi="Arial" w:hint="cs"/>
          <w:noProof w:val="0"/>
          <w:rtl/>
        </w:rPr>
        <w:t xml:space="preserve">אישור </w:t>
      </w:r>
      <w:r w:rsidR="004B2EAE" w:rsidRPr="004675BE">
        <w:rPr>
          <w:rFonts w:ascii="Arial" w:hAnsi="Arial" w:hint="cs"/>
          <w:noProof w:val="0"/>
          <w:rtl/>
        </w:rPr>
        <w:t>המשיב</w:t>
      </w:r>
      <w:r w:rsidR="00247F42" w:rsidRPr="004675BE">
        <w:rPr>
          <w:rFonts w:ascii="Arial" w:hAnsi="Arial" w:hint="cs"/>
          <w:noProof w:val="0"/>
          <w:rtl/>
        </w:rPr>
        <w:t>ה</w:t>
      </w:r>
      <w:r w:rsidR="004B2EAE" w:rsidRPr="004675BE">
        <w:rPr>
          <w:rFonts w:ascii="Arial" w:hAnsi="Arial" w:hint="cs"/>
          <w:noProof w:val="0"/>
          <w:rtl/>
        </w:rPr>
        <w:t xml:space="preserve"> מס' 3</w:t>
      </w:r>
      <w:r w:rsidR="00247F42" w:rsidRPr="004675BE">
        <w:rPr>
          <w:rFonts w:ascii="Arial" w:hAnsi="Arial" w:hint="cs"/>
          <w:noProof w:val="0"/>
          <w:rtl/>
        </w:rPr>
        <w:t xml:space="preserve"> על קבלת מנתה והסכמתה לשכ"ט המבוקש</w:t>
      </w:r>
      <w:r w:rsidR="004B2EAE" w:rsidRPr="004675BE">
        <w:rPr>
          <w:rFonts w:ascii="Arial" w:hAnsi="Arial" w:hint="cs"/>
          <w:noProof w:val="0"/>
          <w:rtl/>
        </w:rPr>
        <w:t>.</w:t>
      </w:r>
    </w:p>
    <w:p w:rsidR="00DA24BC" w:rsidRDefault="00DA24BC" w:rsidP="004675BE">
      <w:pPr>
        <w:spacing w:line="360" w:lineRule="auto"/>
        <w:ind w:left="141" w:hanging="425"/>
        <w:jc w:val="both"/>
        <w:rPr>
          <w:rFonts w:ascii="Arial" w:hAnsi="Arial"/>
          <w:noProof w:val="0"/>
          <w:rtl/>
        </w:rPr>
      </w:pPr>
    </w:p>
    <w:p w:rsidR="00DA24BC" w:rsidRPr="004675BE" w:rsidRDefault="00DA24BC" w:rsidP="00245A35">
      <w:pPr>
        <w:pStyle w:val="ad"/>
        <w:spacing w:line="360" w:lineRule="auto"/>
        <w:ind w:left="141"/>
        <w:jc w:val="both"/>
        <w:rPr>
          <w:rFonts w:ascii="Arial" w:hAnsi="Arial"/>
          <w:b/>
          <w:bCs/>
          <w:noProof w:val="0"/>
          <w:u w:val="single"/>
          <w:rtl/>
        </w:rPr>
      </w:pPr>
      <w:r w:rsidRPr="004675BE">
        <w:rPr>
          <w:rFonts w:ascii="Arial" w:hAnsi="Arial" w:hint="cs"/>
          <w:b/>
          <w:bCs/>
          <w:noProof w:val="0"/>
          <w:u w:val="single"/>
          <w:rtl/>
        </w:rPr>
        <w:t xml:space="preserve">תגובת </w:t>
      </w:r>
      <w:r w:rsidR="004E0726" w:rsidRPr="004675BE">
        <w:rPr>
          <w:rFonts w:ascii="Arial" w:hAnsi="Arial" w:hint="cs"/>
          <w:b/>
          <w:bCs/>
          <w:noProof w:val="0"/>
          <w:u w:val="single"/>
          <w:rtl/>
        </w:rPr>
        <w:t xml:space="preserve">המשיב מס' 1 - </w:t>
      </w:r>
      <w:r w:rsidRPr="004675BE">
        <w:rPr>
          <w:rFonts w:ascii="Arial" w:hAnsi="Arial" w:hint="cs"/>
          <w:b/>
          <w:bCs/>
          <w:noProof w:val="0"/>
          <w:u w:val="single"/>
          <w:rtl/>
        </w:rPr>
        <w:t>האפוטרופוס ה</w:t>
      </w:r>
      <w:r w:rsidR="004E0726" w:rsidRPr="004675BE">
        <w:rPr>
          <w:rFonts w:ascii="Arial" w:hAnsi="Arial" w:hint="cs"/>
          <w:b/>
          <w:bCs/>
          <w:noProof w:val="0"/>
          <w:u w:val="single"/>
          <w:rtl/>
        </w:rPr>
        <w:t>כללי</w:t>
      </w:r>
    </w:p>
    <w:p w:rsidR="00DA24BC" w:rsidRDefault="00DA24BC" w:rsidP="004675BE">
      <w:pPr>
        <w:spacing w:line="360" w:lineRule="auto"/>
        <w:ind w:left="141" w:hanging="425"/>
        <w:jc w:val="both"/>
        <w:rPr>
          <w:rFonts w:ascii="Arial" w:hAnsi="Arial"/>
          <w:noProof w:val="0"/>
          <w:rtl/>
        </w:rPr>
      </w:pPr>
    </w:p>
    <w:p w:rsidR="00DA24BC" w:rsidRPr="004675BE" w:rsidRDefault="004B2EAE" w:rsidP="00245A35">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לטענת המשיב מס' 1 (להלן </w:t>
      </w:r>
      <w:r w:rsidRPr="004675BE">
        <w:rPr>
          <w:rFonts w:ascii="Arial" w:hAnsi="Arial"/>
          <w:noProof w:val="0"/>
          <w:rtl/>
        </w:rPr>
        <w:t>–</w:t>
      </w:r>
      <w:r w:rsidRPr="004675BE">
        <w:rPr>
          <w:rFonts w:ascii="Arial" w:hAnsi="Arial" w:hint="cs"/>
          <w:noProof w:val="0"/>
          <w:rtl/>
        </w:rPr>
        <w:t xml:space="preserve"> "</w:t>
      </w:r>
      <w:r w:rsidRPr="004675BE">
        <w:rPr>
          <w:rFonts w:ascii="Arial" w:hAnsi="Arial" w:hint="cs"/>
          <w:b/>
          <w:bCs/>
          <w:noProof w:val="0"/>
          <w:rtl/>
        </w:rPr>
        <w:t>המשיב</w:t>
      </w:r>
      <w:r w:rsidRPr="004675BE">
        <w:rPr>
          <w:rFonts w:ascii="Arial" w:hAnsi="Arial" w:hint="cs"/>
          <w:noProof w:val="0"/>
          <w:rtl/>
        </w:rPr>
        <w:t>")</w:t>
      </w:r>
      <w:r w:rsidR="004E0726" w:rsidRPr="004675BE">
        <w:rPr>
          <w:rFonts w:ascii="Arial" w:hAnsi="Arial" w:hint="cs"/>
          <w:noProof w:val="0"/>
          <w:rtl/>
        </w:rPr>
        <w:t xml:space="preserve"> לא צורף לבקשה דו"ח כספי </w:t>
      </w:r>
      <w:r w:rsidRPr="004675BE">
        <w:rPr>
          <w:rFonts w:ascii="Arial" w:hAnsi="Arial" w:hint="cs"/>
          <w:noProof w:val="0"/>
          <w:rtl/>
        </w:rPr>
        <w:t>ערוך לפי תקנות הירושה</w:t>
      </w:r>
      <w:r w:rsidR="00245A35">
        <w:rPr>
          <w:rFonts w:ascii="Arial" w:hAnsi="Arial" w:hint="cs"/>
          <w:noProof w:val="0"/>
          <w:rtl/>
        </w:rPr>
        <w:t xml:space="preserve">, תשנ"ח-1998 (להלן </w:t>
      </w:r>
      <w:r w:rsidR="00245A35">
        <w:rPr>
          <w:rFonts w:ascii="Arial" w:hAnsi="Arial"/>
          <w:noProof w:val="0"/>
          <w:rtl/>
        </w:rPr>
        <w:t>–</w:t>
      </w:r>
      <w:r w:rsidR="00245A35">
        <w:rPr>
          <w:rFonts w:ascii="Arial" w:hAnsi="Arial" w:hint="cs"/>
          <w:noProof w:val="0"/>
          <w:rtl/>
        </w:rPr>
        <w:t xml:space="preserve"> "</w:t>
      </w:r>
      <w:r w:rsidR="00245A35" w:rsidRPr="00245A35">
        <w:rPr>
          <w:rFonts w:ascii="Arial" w:hAnsi="Arial" w:hint="cs"/>
          <w:b/>
          <w:bCs/>
          <w:noProof w:val="0"/>
          <w:rtl/>
        </w:rPr>
        <w:t>תקנות הירושה</w:t>
      </w:r>
      <w:r w:rsidR="00245A35">
        <w:rPr>
          <w:rFonts w:ascii="Arial" w:hAnsi="Arial" w:hint="cs"/>
          <w:noProof w:val="0"/>
          <w:rtl/>
        </w:rPr>
        <w:t>")</w:t>
      </w:r>
      <w:r w:rsidR="004E0726" w:rsidRPr="004675BE">
        <w:rPr>
          <w:rFonts w:ascii="Arial" w:hAnsi="Arial" w:hint="cs"/>
          <w:noProof w:val="0"/>
          <w:rtl/>
        </w:rPr>
        <w:t xml:space="preserve"> שכר הטרחה הנקוב בצוואה בשיעור 1.5% עבור הגשת בקשה למתן צו קיום צוואה, הוא מופרז ביחס למאמץ הכרוך בכך.</w:t>
      </w:r>
      <w:r w:rsidR="00B62AFA" w:rsidRPr="004675BE">
        <w:rPr>
          <w:rFonts w:ascii="Arial" w:hAnsi="Arial" w:hint="cs"/>
          <w:noProof w:val="0"/>
          <w:rtl/>
        </w:rPr>
        <w:t xml:space="preserve"> עבור רכיב זה יש לגבות לכל היותר 12,000 ₪ בצירוף מע"מ עבור שכ"ט.</w:t>
      </w:r>
      <w:r w:rsidR="004E0726" w:rsidRPr="004675BE">
        <w:rPr>
          <w:rFonts w:ascii="Arial" w:hAnsi="Arial" w:hint="cs"/>
          <w:noProof w:val="0"/>
          <w:rtl/>
        </w:rPr>
        <w:t xml:space="preserve"> </w:t>
      </w:r>
    </w:p>
    <w:p w:rsidR="004E0726" w:rsidRDefault="004E0726" w:rsidP="004675BE">
      <w:pPr>
        <w:spacing w:line="360" w:lineRule="auto"/>
        <w:ind w:left="141" w:hanging="425"/>
        <w:jc w:val="both"/>
        <w:rPr>
          <w:rFonts w:ascii="Arial" w:hAnsi="Arial"/>
          <w:noProof w:val="0"/>
          <w:rtl/>
        </w:rPr>
      </w:pPr>
    </w:p>
    <w:p w:rsidR="004E0726" w:rsidRPr="004675BE" w:rsidRDefault="004E0726"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על פי תקנות 45ב ו </w:t>
      </w:r>
      <w:r w:rsidRPr="004675BE">
        <w:rPr>
          <w:rFonts w:ascii="Arial" w:hAnsi="Arial"/>
          <w:noProof w:val="0"/>
          <w:rtl/>
        </w:rPr>
        <w:t>–</w:t>
      </w:r>
      <w:r w:rsidRPr="004675BE">
        <w:rPr>
          <w:rFonts w:ascii="Arial" w:hAnsi="Arial" w:hint="cs"/>
          <w:noProof w:val="0"/>
          <w:rtl/>
        </w:rPr>
        <w:t xml:space="preserve"> 45ב(ב) לתקנות הירושה</w:t>
      </w:r>
      <w:r w:rsidR="00245A35">
        <w:rPr>
          <w:rFonts w:ascii="Arial" w:hAnsi="Arial" w:hint="cs"/>
          <w:noProof w:val="0"/>
          <w:rtl/>
        </w:rPr>
        <w:t xml:space="preserve">, </w:t>
      </w:r>
      <w:r w:rsidRPr="004675BE">
        <w:rPr>
          <w:rFonts w:ascii="Arial" w:hAnsi="Arial" w:hint="cs"/>
          <w:noProof w:val="0"/>
          <w:rtl/>
        </w:rPr>
        <w:t xml:space="preserve">שיעור שכ"ט מנהל עזבון לא יעלה על 4%. בכפוף להגשת דו"ח כספי כנדרש, לא יתנגד המשיב </w:t>
      </w:r>
      <w:r w:rsidR="00B62AFA" w:rsidRPr="004675BE">
        <w:rPr>
          <w:rFonts w:ascii="Arial" w:hAnsi="Arial" w:hint="cs"/>
          <w:noProof w:val="0"/>
          <w:rtl/>
        </w:rPr>
        <w:t>"</w:t>
      </w:r>
      <w:r w:rsidRPr="004675BE">
        <w:rPr>
          <w:rFonts w:ascii="Arial" w:hAnsi="Arial" w:hint="cs"/>
          <w:noProof w:val="0"/>
          <w:rtl/>
        </w:rPr>
        <w:t>למבוקש</w:t>
      </w:r>
      <w:r w:rsidR="00B62AFA" w:rsidRPr="004675BE">
        <w:rPr>
          <w:rFonts w:ascii="Arial" w:hAnsi="Arial" w:hint="cs"/>
          <w:noProof w:val="0"/>
          <w:rtl/>
        </w:rPr>
        <w:t>"</w:t>
      </w:r>
      <w:r w:rsidRPr="004675BE">
        <w:rPr>
          <w:rFonts w:ascii="Arial" w:hAnsi="Arial" w:hint="cs"/>
          <w:noProof w:val="0"/>
          <w:rtl/>
        </w:rPr>
        <w:t>.</w:t>
      </w:r>
      <w:r w:rsidR="00B62AFA" w:rsidRPr="004675BE">
        <w:rPr>
          <w:rFonts w:ascii="Arial" w:hAnsi="Arial" w:hint="cs"/>
          <w:noProof w:val="0"/>
          <w:rtl/>
        </w:rPr>
        <w:t xml:space="preserve"> בהקשר זה לא התבהר מתגובת המשיב לאיזה חלק מן "המבוקש" נתן הסכמתו בשים לב ל</w:t>
      </w:r>
      <w:r w:rsidR="00A64DAC" w:rsidRPr="004675BE">
        <w:rPr>
          <w:rFonts w:ascii="Arial" w:hAnsi="Arial" w:hint="cs"/>
          <w:noProof w:val="0"/>
          <w:rtl/>
        </w:rPr>
        <w:t>עמדתו לעיל.</w:t>
      </w:r>
      <w:r w:rsidRPr="004675BE">
        <w:rPr>
          <w:rFonts w:ascii="Arial" w:hAnsi="Arial" w:hint="cs"/>
          <w:noProof w:val="0"/>
          <w:rtl/>
        </w:rPr>
        <w:t xml:space="preserve"> </w:t>
      </w:r>
      <w:r w:rsidR="00A64DAC" w:rsidRPr="004675BE">
        <w:rPr>
          <w:rFonts w:ascii="Arial" w:hAnsi="Arial" w:hint="cs"/>
          <w:noProof w:val="0"/>
          <w:rtl/>
        </w:rPr>
        <w:t xml:space="preserve">המשיב הוסיף כי </w:t>
      </w:r>
      <w:r w:rsidRPr="004675BE">
        <w:rPr>
          <w:rFonts w:ascii="Arial" w:hAnsi="Arial" w:hint="cs"/>
          <w:noProof w:val="0"/>
          <w:rtl/>
        </w:rPr>
        <w:t>לאחר שיוגש הדו"ח הכספי</w:t>
      </w:r>
      <w:r w:rsidR="00A64DAC" w:rsidRPr="004675BE">
        <w:rPr>
          <w:rFonts w:ascii="Arial" w:hAnsi="Arial" w:hint="cs"/>
          <w:noProof w:val="0"/>
          <w:rtl/>
        </w:rPr>
        <w:t xml:space="preserve"> בהתאם לתקנות</w:t>
      </w:r>
      <w:r w:rsidRPr="004675BE">
        <w:rPr>
          <w:rFonts w:ascii="Arial" w:hAnsi="Arial" w:hint="cs"/>
          <w:noProof w:val="0"/>
          <w:rtl/>
        </w:rPr>
        <w:t xml:space="preserve">, לא תהיה מניעה לחלוקת הכספים </w:t>
      </w:r>
      <w:r w:rsidR="00A64DAC" w:rsidRPr="004675BE">
        <w:rPr>
          <w:rFonts w:ascii="Arial" w:hAnsi="Arial" w:hint="cs"/>
          <w:noProof w:val="0"/>
          <w:rtl/>
        </w:rPr>
        <w:t>"</w:t>
      </w:r>
      <w:r w:rsidRPr="004675BE">
        <w:rPr>
          <w:rFonts w:ascii="Arial" w:hAnsi="Arial" w:hint="cs"/>
          <w:noProof w:val="0"/>
          <w:rtl/>
        </w:rPr>
        <w:t>כמבוקש</w:t>
      </w:r>
      <w:r w:rsidR="00A64DAC" w:rsidRPr="004675BE">
        <w:rPr>
          <w:rFonts w:ascii="Arial" w:hAnsi="Arial" w:hint="cs"/>
          <w:noProof w:val="0"/>
          <w:rtl/>
        </w:rPr>
        <w:t>"</w:t>
      </w:r>
      <w:r w:rsidRPr="004675BE">
        <w:rPr>
          <w:rFonts w:ascii="Arial" w:hAnsi="Arial" w:hint="cs"/>
          <w:noProof w:val="0"/>
          <w:rtl/>
        </w:rPr>
        <w:t xml:space="preserve"> (הגם שהיורשים כבר קבלו את מנתם כאמור</w:t>
      </w:r>
      <w:r w:rsidR="00E20431" w:rsidRPr="004675BE">
        <w:rPr>
          <w:rFonts w:ascii="Arial" w:hAnsi="Arial" w:hint="cs"/>
          <w:noProof w:val="0"/>
          <w:rtl/>
        </w:rPr>
        <w:t>, למעט המשיבה מס' 6</w:t>
      </w:r>
      <w:r w:rsidRPr="004675BE">
        <w:rPr>
          <w:rFonts w:ascii="Arial" w:hAnsi="Arial" w:hint="cs"/>
          <w:noProof w:val="0"/>
          <w:rtl/>
        </w:rPr>
        <w:t>)</w:t>
      </w:r>
      <w:r w:rsidR="00E20431" w:rsidRPr="004675BE">
        <w:rPr>
          <w:rFonts w:ascii="Arial" w:hAnsi="Arial" w:hint="cs"/>
          <w:noProof w:val="0"/>
          <w:rtl/>
        </w:rPr>
        <w:t>.</w:t>
      </w:r>
    </w:p>
    <w:p w:rsidR="00E20431" w:rsidRDefault="00E20431" w:rsidP="004675BE">
      <w:pPr>
        <w:spacing w:line="360" w:lineRule="auto"/>
        <w:ind w:left="141" w:hanging="425"/>
        <w:jc w:val="both"/>
        <w:rPr>
          <w:rFonts w:ascii="Arial" w:hAnsi="Arial"/>
          <w:noProof w:val="0"/>
          <w:rtl/>
        </w:rPr>
      </w:pPr>
    </w:p>
    <w:p w:rsidR="00E20431" w:rsidRPr="004675BE" w:rsidRDefault="00E20431"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המבקש </w:t>
      </w:r>
      <w:r w:rsidR="009145FF" w:rsidRPr="004675BE">
        <w:rPr>
          <w:rFonts w:ascii="Arial" w:hAnsi="Arial" w:hint="cs"/>
          <w:noProof w:val="0"/>
          <w:rtl/>
        </w:rPr>
        <w:t xml:space="preserve">הגיש ללא דיחוי את הדו"ח הכספי ערוך לפי נוסח התקנות. לטענתו עוד שיעור בסך 1.5% עבור הגשת בקשה לצו ירושה הוא השיעור הנקוב בתעריף המינימלי; שיעור זה כולל </w:t>
      </w:r>
      <w:r w:rsidR="00A64DAC" w:rsidRPr="004675BE">
        <w:rPr>
          <w:rFonts w:ascii="Arial" w:hAnsi="Arial" w:hint="cs"/>
          <w:noProof w:val="0"/>
          <w:rtl/>
        </w:rPr>
        <w:t xml:space="preserve">עוד </w:t>
      </w:r>
      <w:r w:rsidR="009145FF" w:rsidRPr="004675BE">
        <w:rPr>
          <w:rFonts w:ascii="Arial" w:hAnsi="Arial" w:hint="cs"/>
          <w:noProof w:val="0"/>
          <w:rtl/>
        </w:rPr>
        <w:t>את מאמציו הרבים שנבעו מהיות המנוח ערירי, כמפורט לעיל. כל אחד מהיורשים אישר את שיעור שכ"ט. רשם הירושות אישר את צוואת המנוח ללא התנגדות, לאחר קבלת עמדת היועמ"ש. עוד הוסיף, ככל שירדתי לסוף דעתו, כי הבקשה דנן היא לאשר רק את חלקו השני של השכ"ט הנקוב בצוואה, בשיעור 3%.</w:t>
      </w:r>
    </w:p>
    <w:p w:rsidR="009145FF" w:rsidRDefault="009145FF" w:rsidP="004675BE">
      <w:pPr>
        <w:spacing w:line="360" w:lineRule="auto"/>
        <w:ind w:left="141" w:hanging="425"/>
        <w:jc w:val="both"/>
        <w:rPr>
          <w:rFonts w:ascii="Arial" w:hAnsi="Arial"/>
          <w:noProof w:val="0"/>
          <w:rtl/>
        </w:rPr>
      </w:pPr>
    </w:p>
    <w:p w:rsidR="00644614" w:rsidRPr="004675BE" w:rsidRDefault="00A64DAC"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הוריתי על קבלת תשובת המשיב. </w:t>
      </w:r>
      <w:r w:rsidR="00644614" w:rsidRPr="004675BE">
        <w:rPr>
          <w:rFonts w:ascii="Arial" w:hAnsi="Arial" w:hint="cs"/>
          <w:noProof w:val="0"/>
          <w:rtl/>
        </w:rPr>
        <w:t>בת</w:t>
      </w:r>
      <w:r w:rsidRPr="004675BE">
        <w:rPr>
          <w:rFonts w:ascii="Arial" w:hAnsi="Arial" w:hint="cs"/>
          <w:noProof w:val="0"/>
          <w:rtl/>
        </w:rPr>
        <w:t>שובתו</w:t>
      </w:r>
      <w:r w:rsidR="00644614" w:rsidRPr="004675BE">
        <w:rPr>
          <w:rFonts w:ascii="Arial" w:hAnsi="Arial" w:hint="cs"/>
          <w:noProof w:val="0"/>
          <w:rtl/>
        </w:rPr>
        <w:t xml:space="preserve"> ציין המשיב כי "</w:t>
      </w:r>
      <w:r w:rsidR="00644614" w:rsidRPr="004675BE">
        <w:rPr>
          <w:rFonts w:ascii="Arial" w:hAnsi="Arial" w:hint="cs"/>
          <w:b/>
          <w:bCs/>
          <w:noProof w:val="0"/>
          <w:rtl/>
        </w:rPr>
        <w:t>לא ניתן להתנות על הוראות החוק בנוגע לשיעור שכר הטרחה</w:t>
      </w:r>
      <w:r w:rsidR="00644614" w:rsidRPr="004675BE">
        <w:rPr>
          <w:rFonts w:ascii="Arial" w:hAnsi="Arial" w:hint="cs"/>
          <w:noProof w:val="0"/>
          <w:rtl/>
        </w:rPr>
        <w:t>". עוד לעמדתו יש לקבל את הסכמת כל היורשים לתשלום רכיב שכ"ט בשיעור 1.5. יש לקבל עוד את הסכמתם המפורשת של בעלי החתימה המורשים בעמותות, לרבות הסכמתם של יתר הזוכים.</w:t>
      </w:r>
    </w:p>
    <w:p w:rsidR="00644614" w:rsidRDefault="00644614" w:rsidP="004675BE">
      <w:pPr>
        <w:spacing w:line="360" w:lineRule="auto"/>
        <w:ind w:left="141" w:hanging="425"/>
        <w:jc w:val="both"/>
        <w:rPr>
          <w:rFonts w:ascii="Arial" w:hAnsi="Arial"/>
          <w:noProof w:val="0"/>
          <w:rtl/>
        </w:rPr>
      </w:pPr>
    </w:p>
    <w:p w:rsidR="00644614" w:rsidRPr="004675BE" w:rsidRDefault="00644614"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lastRenderedPageBreak/>
        <w:t xml:space="preserve">בו ביום המבקש </w:t>
      </w:r>
      <w:r w:rsidR="00A64DAC" w:rsidRPr="004675BE">
        <w:rPr>
          <w:rFonts w:ascii="Arial" w:hAnsi="Arial" w:hint="cs"/>
          <w:noProof w:val="0"/>
          <w:rtl/>
        </w:rPr>
        <w:t>השיב לדברים</w:t>
      </w:r>
      <w:r w:rsidRPr="004675BE">
        <w:rPr>
          <w:rFonts w:ascii="Arial" w:hAnsi="Arial" w:hint="cs"/>
          <w:noProof w:val="0"/>
          <w:rtl/>
        </w:rPr>
        <w:t xml:space="preserve"> והפנה את המשיב ואת בית המשפט להסכמתם המפורשת של כלל היורשים לכל רכיבי שכר הטרחה כנקוב בצוואה</w:t>
      </w:r>
      <w:r w:rsidR="00247F42" w:rsidRPr="004675BE">
        <w:rPr>
          <w:rFonts w:ascii="Arial" w:hAnsi="Arial" w:hint="cs"/>
          <w:noProof w:val="0"/>
          <w:rtl/>
        </w:rPr>
        <w:t>, כפי שעלתה מנספחי הבקשה</w:t>
      </w:r>
      <w:r w:rsidRPr="004675BE">
        <w:rPr>
          <w:rFonts w:ascii="Arial" w:hAnsi="Arial" w:hint="cs"/>
          <w:noProof w:val="0"/>
          <w:rtl/>
        </w:rPr>
        <w:t xml:space="preserve">. הוריתי </w:t>
      </w:r>
      <w:r w:rsidR="00A64DAC" w:rsidRPr="004675BE">
        <w:rPr>
          <w:rFonts w:ascii="Arial" w:hAnsi="Arial" w:hint="cs"/>
          <w:noProof w:val="0"/>
          <w:rtl/>
        </w:rPr>
        <w:t>למשיב להגיש</w:t>
      </w:r>
      <w:r w:rsidRPr="004675BE">
        <w:rPr>
          <w:rFonts w:ascii="Arial" w:hAnsi="Arial" w:hint="cs"/>
          <w:noProof w:val="0"/>
          <w:rtl/>
        </w:rPr>
        <w:t xml:space="preserve"> עמד</w:t>
      </w:r>
      <w:r w:rsidR="00582146" w:rsidRPr="004675BE">
        <w:rPr>
          <w:rFonts w:ascii="Arial" w:hAnsi="Arial" w:hint="cs"/>
          <w:noProof w:val="0"/>
          <w:rtl/>
        </w:rPr>
        <w:t>ה משלימה</w:t>
      </w:r>
      <w:r w:rsidRPr="004675BE">
        <w:rPr>
          <w:rFonts w:ascii="Arial" w:hAnsi="Arial" w:hint="cs"/>
          <w:noProof w:val="0"/>
          <w:rtl/>
        </w:rPr>
        <w:t>.</w:t>
      </w:r>
      <w:r w:rsidR="00582146" w:rsidRPr="004675BE">
        <w:rPr>
          <w:rFonts w:ascii="Arial" w:hAnsi="Arial" w:hint="cs"/>
          <w:noProof w:val="0"/>
          <w:rtl/>
        </w:rPr>
        <w:t xml:space="preserve"> </w:t>
      </w:r>
      <w:r w:rsidR="00582146" w:rsidRPr="004675BE">
        <w:rPr>
          <w:rFonts w:ascii="Arial" w:hAnsi="Arial" w:hint="cs"/>
          <w:b/>
          <w:bCs/>
          <w:noProof w:val="0"/>
          <w:rtl/>
        </w:rPr>
        <w:t>בחלוף 5 חודשים, ולאחר שתי אורכות שיזם בית המשפט, נמנע המשיב מלהגיש עמדתו</w:t>
      </w:r>
      <w:r w:rsidR="00247F42" w:rsidRPr="004675BE">
        <w:rPr>
          <w:rFonts w:ascii="Arial" w:hAnsi="Arial" w:hint="cs"/>
          <w:b/>
          <w:bCs/>
          <w:noProof w:val="0"/>
          <w:rtl/>
        </w:rPr>
        <w:t xml:space="preserve"> עד למועד כתיבת שורות אלה</w:t>
      </w:r>
      <w:r w:rsidR="00582146" w:rsidRPr="004675BE">
        <w:rPr>
          <w:rFonts w:ascii="Arial" w:hAnsi="Arial" w:hint="cs"/>
          <w:noProof w:val="0"/>
          <w:rtl/>
        </w:rPr>
        <w:t>.</w:t>
      </w:r>
    </w:p>
    <w:p w:rsidR="00582146" w:rsidRDefault="00582146" w:rsidP="004675BE">
      <w:pPr>
        <w:spacing w:line="360" w:lineRule="auto"/>
        <w:ind w:left="141" w:hanging="425"/>
        <w:jc w:val="both"/>
        <w:rPr>
          <w:rFonts w:ascii="Arial" w:hAnsi="Arial"/>
          <w:noProof w:val="0"/>
          <w:rtl/>
        </w:rPr>
      </w:pPr>
    </w:p>
    <w:p w:rsidR="00582146" w:rsidRPr="00245A35" w:rsidRDefault="00582146" w:rsidP="00245A35">
      <w:pPr>
        <w:pStyle w:val="ad"/>
        <w:spacing w:line="360" w:lineRule="auto"/>
        <w:ind w:left="0"/>
        <w:jc w:val="both"/>
        <w:rPr>
          <w:rFonts w:ascii="Arial" w:hAnsi="Arial"/>
          <w:b/>
          <w:bCs/>
          <w:noProof w:val="0"/>
          <w:sz w:val="26"/>
          <w:szCs w:val="26"/>
          <w:u w:val="single"/>
        </w:rPr>
      </w:pPr>
      <w:r w:rsidRPr="00245A35">
        <w:rPr>
          <w:rFonts w:ascii="Arial" w:hAnsi="Arial" w:hint="cs"/>
          <w:b/>
          <w:bCs/>
          <w:noProof w:val="0"/>
          <w:sz w:val="26"/>
          <w:szCs w:val="26"/>
          <w:u w:val="single"/>
          <w:rtl/>
        </w:rPr>
        <w:t>דיון והכרעה</w:t>
      </w:r>
    </w:p>
    <w:p w:rsidR="00245A35" w:rsidRPr="004675BE" w:rsidRDefault="00245A35" w:rsidP="00245A35">
      <w:pPr>
        <w:pStyle w:val="ad"/>
        <w:spacing w:line="360" w:lineRule="auto"/>
        <w:ind w:left="141"/>
        <w:jc w:val="both"/>
        <w:rPr>
          <w:rFonts w:ascii="Arial" w:hAnsi="Arial"/>
          <w:noProof w:val="0"/>
          <w:rtl/>
        </w:rPr>
      </w:pPr>
    </w:p>
    <w:p w:rsidR="00EC19B4" w:rsidRPr="004675BE" w:rsidRDefault="008C2B2B"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המשיב אינו מעלה כל טענה ביחס לפירוט הפעולות שתיאר המבקש או ביחס להוצאות העזבון אותן מנה בבקשתו</w:t>
      </w:r>
      <w:r w:rsidR="004675BE" w:rsidRPr="004675BE">
        <w:rPr>
          <w:rFonts w:ascii="Arial" w:hAnsi="Arial" w:hint="cs"/>
          <w:noProof w:val="0"/>
          <w:rtl/>
        </w:rPr>
        <w:t>, או בנוגע לשווי העזבון</w:t>
      </w:r>
      <w:r w:rsidRPr="004675BE">
        <w:rPr>
          <w:rFonts w:ascii="Arial" w:hAnsi="Arial" w:hint="cs"/>
          <w:noProof w:val="0"/>
          <w:rtl/>
        </w:rPr>
        <w:t>. עיון בבקשה מלמד כי המבקש תמך את כלל טענותיו בסימוכין למכביר. מטעמים אלה לא מצאתי מקום לפקפק בטענותיו. המחלוקת בענייננו היא מחלוקת משפטית. בלב המקרה מונחת סוגיה משפטית מוגדרת ושני הצדדים נמנעו מלעסוק בה:</w:t>
      </w:r>
    </w:p>
    <w:p w:rsidR="00245A35" w:rsidRDefault="00245A35" w:rsidP="00245A35">
      <w:pPr>
        <w:pStyle w:val="ad"/>
        <w:spacing w:line="360" w:lineRule="auto"/>
        <w:ind w:left="141"/>
        <w:jc w:val="both"/>
        <w:rPr>
          <w:rFonts w:ascii="Arial" w:hAnsi="Arial"/>
          <w:noProof w:val="0"/>
          <w:rtl/>
        </w:rPr>
      </w:pPr>
    </w:p>
    <w:p w:rsidR="008C2B2B" w:rsidRPr="00245A35" w:rsidRDefault="008C2B2B" w:rsidP="00245A35">
      <w:pPr>
        <w:pStyle w:val="ad"/>
        <w:spacing w:line="360" w:lineRule="auto"/>
        <w:ind w:left="141"/>
        <w:jc w:val="both"/>
        <w:rPr>
          <w:rFonts w:ascii="Arial" w:hAnsi="Arial"/>
          <w:b/>
          <w:bCs/>
          <w:noProof w:val="0"/>
          <w:rtl/>
        </w:rPr>
      </w:pPr>
      <w:r w:rsidRPr="00245A35">
        <w:rPr>
          <w:rFonts w:ascii="Arial" w:hAnsi="Arial" w:hint="cs"/>
          <w:b/>
          <w:bCs/>
          <w:noProof w:val="0"/>
          <w:rtl/>
        </w:rPr>
        <w:t>האם זכאי מנהל עז</w:t>
      </w:r>
      <w:r w:rsidR="0031189A">
        <w:rPr>
          <w:rFonts w:ascii="Arial" w:hAnsi="Arial" w:hint="cs"/>
          <w:b/>
          <w:bCs/>
          <w:noProof w:val="0"/>
          <w:rtl/>
        </w:rPr>
        <w:t>בון לשכ"ט בשיעור הנקוב בצוואה, ה</w:t>
      </w:r>
      <w:r w:rsidRPr="00245A35">
        <w:rPr>
          <w:rFonts w:ascii="Arial" w:hAnsi="Arial" w:hint="cs"/>
          <w:b/>
          <w:bCs/>
          <w:noProof w:val="0"/>
          <w:rtl/>
        </w:rPr>
        <w:t>עולה על השיעור הנקוב בתקנות?</w:t>
      </w:r>
    </w:p>
    <w:p w:rsidR="00245A35" w:rsidRDefault="00245A35" w:rsidP="00245A35">
      <w:pPr>
        <w:pStyle w:val="ad"/>
        <w:spacing w:line="360" w:lineRule="auto"/>
        <w:ind w:left="141"/>
        <w:jc w:val="both"/>
        <w:rPr>
          <w:rFonts w:ascii="Arial" w:hAnsi="Arial"/>
          <w:noProof w:val="0"/>
          <w:rtl/>
        </w:rPr>
      </w:pPr>
    </w:p>
    <w:p w:rsidR="008C2B2B" w:rsidRPr="004675BE" w:rsidRDefault="004B23A8" w:rsidP="00245A35">
      <w:pPr>
        <w:pStyle w:val="ad"/>
        <w:spacing w:line="360" w:lineRule="auto"/>
        <w:ind w:left="141"/>
        <w:jc w:val="both"/>
        <w:rPr>
          <w:rFonts w:ascii="Arial" w:hAnsi="Arial"/>
          <w:noProof w:val="0"/>
          <w:rtl/>
        </w:rPr>
      </w:pPr>
      <w:r w:rsidRPr="004675BE">
        <w:rPr>
          <w:rFonts w:ascii="Arial" w:hAnsi="Arial" w:hint="cs"/>
          <w:noProof w:val="0"/>
          <w:rtl/>
        </w:rPr>
        <w:t xml:space="preserve">המשיב הסתפק בטענה כללית אחת, ולפיה לא ניתן להתנות בצוואה על שיעור שכ"ט הנקוב בתקנות. סתם ולא פירש. </w:t>
      </w:r>
      <w:r w:rsidR="008C2B2B" w:rsidRPr="004675BE">
        <w:rPr>
          <w:rFonts w:ascii="Arial" w:hAnsi="Arial" w:hint="cs"/>
          <w:noProof w:val="0"/>
          <w:rtl/>
        </w:rPr>
        <w:t>בית המשפט אינו יכול להתנער מעיסוק בסוגיה המשפטית שבפניו, וידון בה</w:t>
      </w:r>
      <w:r w:rsidRPr="004675BE">
        <w:rPr>
          <w:rFonts w:ascii="Arial" w:hAnsi="Arial" w:hint="cs"/>
          <w:noProof w:val="0"/>
          <w:rtl/>
        </w:rPr>
        <w:t xml:space="preserve"> להלן </w:t>
      </w:r>
      <w:r w:rsidRPr="004675BE">
        <w:rPr>
          <w:rFonts w:ascii="Arial" w:hAnsi="Arial"/>
          <w:noProof w:val="0"/>
          <w:rtl/>
        </w:rPr>
        <w:t>–</w:t>
      </w:r>
      <w:r w:rsidRPr="004675BE">
        <w:rPr>
          <w:rFonts w:ascii="Arial" w:hAnsi="Arial" w:hint="cs"/>
          <w:noProof w:val="0"/>
          <w:rtl/>
        </w:rPr>
        <w:t xml:space="preserve"> למרבה הצער, מבלי שהצדדים לקחו חלק בדיון זה.</w:t>
      </w:r>
    </w:p>
    <w:p w:rsidR="004B23A8" w:rsidRDefault="004B23A8" w:rsidP="004675BE">
      <w:pPr>
        <w:spacing w:line="360" w:lineRule="auto"/>
        <w:ind w:left="141" w:hanging="425"/>
        <w:jc w:val="both"/>
        <w:rPr>
          <w:rFonts w:ascii="Arial" w:hAnsi="Arial"/>
          <w:noProof w:val="0"/>
          <w:rtl/>
        </w:rPr>
      </w:pPr>
    </w:p>
    <w:p w:rsidR="004B23A8" w:rsidRPr="0031189A" w:rsidRDefault="004B23A8" w:rsidP="00245A35">
      <w:pPr>
        <w:pStyle w:val="ad"/>
        <w:spacing w:line="360" w:lineRule="auto"/>
        <w:ind w:left="141"/>
        <w:jc w:val="both"/>
        <w:rPr>
          <w:rFonts w:ascii="Arial" w:hAnsi="Arial"/>
          <w:b/>
          <w:bCs/>
          <w:noProof w:val="0"/>
          <w:u w:val="single"/>
          <w:rtl/>
        </w:rPr>
      </w:pPr>
      <w:r w:rsidRPr="0031189A">
        <w:rPr>
          <w:rFonts w:ascii="Arial" w:hAnsi="Arial" w:hint="cs"/>
          <w:b/>
          <w:bCs/>
          <w:noProof w:val="0"/>
          <w:u w:val="single"/>
          <w:rtl/>
        </w:rPr>
        <w:t>המסגרת המשפטית</w:t>
      </w:r>
    </w:p>
    <w:p w:rsidR="004B23A8" w:rsidRDefault="004B23A8" w:rsidP="004675BE">
      <w:pPr>
        <w:spacing w:line="360" w:lineRule="auto"/>
        <w:ind w:left="141" w:hanging="425"/>
        <w:jc w:val="both"/>
        <w:rPr>
          <w:rFonts w:ascii="Arial" w:hAnsi="Arial"/>
          <w:noProof w:val="0"/>
          <w:rtl/>
        </w:rPr>
      </w:pPr>
    </w:p>
    <w:p w:rsidR="004B23A8" w:rsidRPr="004675BE" w:rsidRDefault="004B23A8"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ההוראות הרלוונטיות הפותחות את הדיון בענייננו מצויות בסעיפים</w:t>
      </w:r>
      <w:r w:rsidRPr="002F3D5C">
        <w:rPr>
          <w:rFonts w:ascii="Arial" w:hAnsi="Arial" w:hint="cs"/>
          <w:noProof w:val="0"/>
          <w:rtl/>
        </w:rPr>
        <w:t xml:space="preserve"> 81, 91 ו </w:t>
      </w:r>
      <w:r w:rsidRPr="002F3D5C">
        <w:rPr>
          <w:rFonts w:ascii="Arial" w:hAnsi="Arial"/>
          <w:noProof w:val="0"/>
          <w:rtl/>
        </w:rPr>
        <w:t>–</w:t>
      </w:r>
      <w:r w:rsidRPr="002F3D5C">
        <w:rPr>
          <w:rFonts w:ascii="Arial" w:hAnsi="Arial" w:hint="cs"/>
          <w:noProof w:val="0"/>
          <w:rtl/>
        </w:rPr>
        <w:t xml:space="preserve"> 95 </w:t>
      </w:r>
      <w:r w:rsidRPr="004675BE">
        <w:rPr>
          <w:rFonts w:ascii="Arial" w:hAnsi="Arial" w:hint="cs"/>
          <w:noProof w:val="0"/>
          <w:rtl/>
        </w:rPr>
        <w:t xml:space="preserve">לחוק הירושה, תשכ"ה-1965 (להלן </w:t>
      </w:r>
      <w:r w:rsidRPr="004675BE">
        <w:rPr>
          <w:rFonts w:ascii="Arial" w:hAnsi="Arial"/>
          <w:noProof w:val="0"/>
          <w:rtl/>
        </w:rPr>
        <w:t>–</w:t>
      </w:r>
      <w:r w:rsidRPr="004675BE">
        <w:rPr>
          <w:rFonts w:ascii="Arial" w:hAnsi="Arial" w:hint="cs"/>
          <w:noProof w:val="0"/>
          <w:rtl/>
        </w:rPr>
        <w:t xml:space="preserve"> "</w:t>
      </w:r>
      <w:r w:rsidRPr="00245A35">
        <w:rPr>
          <w:rFonts w:ascii="Arial" w:hAnsi="Arial" w:hint="cs"/>
          <w:b/>
          <w:bCs/>
          <w:noProof w:val="0"/>
          <w:rtl/>
        </w:rPr>
        <w:t>חוק הירושה</w:t>
      </w:r>
      <w:r w:rsidRPr="004675BE">
        <w:rPr>
          <w:rFonts w:ascii="Arial" w:hAnsi="Arial" w:hint="cs"/>
          <w:noProof w:val="0"/>
          <w:rtl/>
        </w:rPr>
        <w:t>") להלן (ההדגשות אינן במקור, לז"ק):</w:t>
      </w:r>
    </w:p>
    <w:p w:rsidR="00245A35" w:rsidRDefault="00245A35" w:rsidP="00245A35">
      <w:pPr>
        <w:spacing w:line="360" w:lineRule="auto"/>
        <w:ind w:left="566" w:hanging="425"/>
        <w:jc w:val="both"/>
        <w:rPr>
          <w:rFonts w:ascii="Arial" w:hAnsi="Arial"/>
          <w:noProof w:val="0"/>
          <w:rtl/>
        </w:rPr>
      </w:pPr>
    </w:p>
    <w:p w:rsidR="004B23A8" w:rsidRPr="00245A35" w:rsidRDefault="00B940E2" w:rsidP="00B940E2">
      <w:pPr>
        <w:pStyle w:val="ad"/>
        <w:spacing w:line="360" w:lineRule="auto"/>
        <w:ind w:left="992" w:right="709" w:hanging="425"/>
        <w:jc w:val="both"/>
        <w:rPr>
          <w:rFonts w:ascii="David" w:hAnsi="David"/>
          <w:b/>
          <w:bCs/>
          <w:noProof w:val="0"/>
        </w:rPr>
      </w:pPr>
      <w:r>
        <w:rPr>
          <w:rFonts w:ascii="David" w:hAnsi="David" w:hint="cs"/>
          <w:rtl/>
        </w:rPr>
        <w:t>"</w:t>
      </w:r>
      <w:r w:rsidR="004B23A8" w:rsidRPr="00245A35">
        <w:rPr>
          <w:rFonts w:ascii="David" w:hAnsi="David"/>
          <w:b/>
          <w:bCs/>
          <w:rtl/>
        </w:rPr>
        <w:t>81.</w:t>
      </w:r>
      <w:r w:rsidR="004B23A8" w:rsidRPr="00245A35">
        <w:rPr>
          <w:rFonts w:ascii="David" w:hAnsi="David"/>
          <w:b/>
          <w:bCs/>
          <w:rtl/>
        </w:rPr>
        <w:tab/>
        <w:t>קבע המוריש בצוואתו אדם שיבצע צוואתו או שינהל עזבונו, ימנה בית המשפט או הרשם לעניני ירושה, לפי הענין, אותו אדם כמנהל עזבון, זולת אם אינו יכול או אינו מסכים לקבל את המינוי או שבית המשפט או הרשם לעניני ירושה משוכנע, מטעמים מיוחדים שיירשמו, שיש סיבות מיוחדות שלא למנותו</w:t>
      </w:r>
      <w:r w:rsidR="004B23A8" w:rsidRPr="00245A35">
        <w:rPr>
          <w:rFonts w:ascii="David" w:hAnsi="David" w:hint="cs"/>
          <w:b/>
          <w:bCs/>
          <w:rtl/>
        </w:rPr>
        <w:t>.</w:t>
      </w:r>
      <w:r>
        <w:rPr>
          <w:rFonts w:ascii="David" w:hAnsi="David" w:hint="cs"/>
          <w:rtl/>
        </w:rPr>
        <w:t>"</w:t>
      </w:r>
      <w:r w:rsidR="004B23A8" w:rsidRPr="00245A35">
        <w:rPr>
          <w:rFonts w:ascii="David" w:hAnsi="David"/>
          <w:b/>
          <w:bCs/>
          <w:rtl/>
        </w:rPr>
        <w:t xml:space="preserve"> </w:t>
      </w:r>
    </w:p>
    <w:p w:rsidR="00245A35" w:rsidRPr="00245A35" w:rsidRDefault="00245A35" w:rsidP="002F3D5C">
      <w:pPr>
        <w:pStyle w:val="ad"/>
        <w:spacing w:line="360" w:lineRule="auto"/>
        <w:ind w:left="992" w:right="709"/>
        <w:jc w:val="both"/>
        <w:rPr>
          <w:rFonts w:ascii="David" w:hAnsi="David"/>
          <w:b/>
          <w:bCs/>
          <w:rtl/>
        </w:rPr>
      </w:pPr>
    </w:p>
    <w:p w:rsidR="00B940E2" w:rsidRDefault="00B940E2" w:rsidP="00B940E2">
      <w:pPr>
        <w:pStyle w:val="ad"/>
        <w:spacing w:line="360" w:lineRule="auto"/>
        <w:ind w:left="992" w:right="709" w:hanging="425"/>
        <w:jc w:val="both"/>
        <w:rPr>
          <w:rFonts w:ascii="David" w:hAnsi="David"/>
          <w:b/>
          <w:bCs/>
          <w:u w:val="single"/>
          <w:rtl/>
        </w:rPr>
      </w:pPr>
      <w:r>
        <w:rPr>
          <w:rFonts w:ascii="David" w:hAnsi="David" w:hint="cs"/>
          <w:rtl/>
        </w:rPr>
        <w:t>"</w:t>
      </w:r>
      <w:r>
        <w:rPr>
          <w:rFonts w:ascii="David" w:hAnsi="David"/>
          <w:b/>
          <w:bCs/>
          <w:rtl/>
        </w:rPr>
        <w:t>91.</w:t>
      </w:r>
      <w:r>
        <w:rPr>
          <w:rFonts w:ascii="David" w:hAnsi="David" w:hint="cs"/>
          <w:b/>
          <w:bCs/>
          <w:rtl/>
        </w:rPr>
        <w:t xml:space="preserve"> </w:t>
      </w:r>
      <w:r w:rsidR="004B23A8" w:rsidRPr="00245A35">
        <w:rPr>
          <w:rFonts w:ascii="David" w:hAnsi="David"/>
          <w:b/>
          <w:bCs/>
          <w:rtl/>
        </w:rPr>
        <w:t xml:space="preserve">בית המשפט רשאי לפסוק למנהל עזבון שכר </w:t>
      </w:r>
      <w:r w:rsidR="004B23A8" w:rsidRPr="00245A35">
        <w:rPr>
          <w:rFonts w:ascii="David" w:hAnsi="David"/>
          <w:b/>
          <w:bCs/>
          <w:u w:val="single"/>
          <w:rtl/>
        </w:rPr>
        <w:t xml:space="preserve">לפי כללים שקבע שר המשפטים </w:t>
      </w:r>
    </w:p>
    <w:p w:rsidR="00245A35" w:rsidRDefault="00B940E2" w:rsidP="00B940E2">
      <w:pPr>
        <w:pStyle w:val="ad"/>
        <w:spacing w:line="360" w:lineRule="auto"/>
        <w:ind w:right="709"/>
        <w:jc w:val="both"/>
        <w:rPr>
          <w:rFonts w:ascii="David" w:hAnsi="David"/>
          <w:b/>
          <w:bCs/>
          <w:rtl/>
        </w:rPr>
      </w:pPr>
      <w:r w:rsidRPr="00B940E2">
        <w:rPr>
          <w:rFonts w:ascii="David" w:hAnsi="David" w:hint="cs"/>
          <w:b/>
          <w:bCs/>
          <w:rtl/>
        </w:rPr>
        <w:t xml:space="preserve">      </w:t>
      </w:r>
      <w:r w:rsidR="004B23A8" w:rsidRPr="00245A35">
        <w:rPr>
          <w:rFonts w:ascii="David" w:hAnsi="David"/>
          <w:b/>
          <w:bCs/>
          <w:u w:val="single"/>
          <w:rtl/>
        </w:rPr>
        <w:t>בתקנות</w:t>
      </w:r>
      <w:r w:rsidR="004B23A8" w:rsidRPr="00245A35">
        <w:rPr>
          <w:rFonts w:ascii="David" w:hAnsi="David"/>
          <w:b/>
          <w:bCs/>
          <w:rtl/>
        </w:rPr>
        <w:t>.</w:t>
      </w:r>
      <w:r>
        <w:rPr>
          <w:rFonts w:ascii="David" w:hAnsi="David" w:hint="cs"/>
          <w:rtl/>
        </w:rPr>
        <w:t>"</w:t>
      </w:r>
    </w:p>
    <w:p w:rsidR="00B940E2" w:rsidRPr="00245A35" w:rsidRDefault="00B940E2" w:rsidP="00B940E2">
      <w:pPr>
        <w:pStyle w:val="ad"/>
        <w:spacing w:line="360" w:lineRule="auto"/>
        <w:ind w:right="709"/>
        <w:jc w:val="both"/>
        <w:rPr>
          <w:rFonts w:ascii="David" w:hAnsi="David"/>
          <w:b/>
          <w:bCs/>
          <w:rtl/>
        </w:rPr>
      </w:pPr>
    </w:p>
    <w:p w:rsidR="004B23A8" w:rsidRPr="004675BE" w:rsidRDefault="00B940E2" w:rsidP="00B940E2">
      <w:pPr>
        <w:pStyle w:val="ad"/>
        <w:spacing w:line="360" w:lineRule="auto"/>
        <w:ind w:left="992" w:right="709" w:hanging="425"/>
        <w:jc w:val="both"/>
        <w:rPr>
          <w:rFonts w:ascii="David" w:hAnsi="David"/>
          <w:rtl/>
        </w:rPr>
      </w:pPr>
      <w:r>
        <w:rPr>
          <w:rFonts w:ascii="David" w:hAnsi="David" w:hint="cs"/>
          <w:rtl/>
        </w:rPr>
        <w:t>"</w:t>
      </w:r>
      <w:r w:rsidR="004B23A8" w:rsidRPr="00245A35">
        <w:rPr>
          <w:rFonts w:ascii="David" w:hAnsi="David"/>
          <w:b/>
          <w:bCs/>
          <w:rtl/>
        </w:rPr>
        <w:t>95.</w:t>
      </w:r>
      <w:r w:rsidR="004B23A8" w:rsidRPr="00245A35">
        <w:rPr>
          <w:rFonts w:ascii="David" w:hAnsi="David"/>
          <w:b/>
          <w:bCs/>
          <w:rtl/>
        </w:rPr>
        <w:tab/>
        <w:t xml:space="preserve">נתן המוריש בצוואתו הוראות בענין מן הענינים </w:t>
      </w:r>
      <w:r w:rsidR="004B23A8" w:rsidRPr="00245A35">
        <w:rPr>
          <w:rFonts w:ascii="David" w:hAnsi="David"/>
          <w:b/>
          <w:bCs/>
          <w:u w:val="single"/>
          <w:rtl/>
        </w:rPr>
        <w:t>הנתונים לפי סימן זה לשיקול דעתו של בית המשפט</w:t>
      </w:r>
      <w:r w:rsidR="004B23A8" w:rsidRPr="00245A35">
        <w:rPr>
          <w:rFonts w:ascii="David" w:hAnsi="David"/>
          <w:b/>
          <w:bCs/>
          <w:rtl/>
        </w:rPr>
        <w:t>, יפעל בית המשפט בהתאם להוראות אלה, זולת אם שוכנע, מטעמים שיירשמו, שהיו סיבות מיוחדות לסטות מהן</w:t>
      </w:r>
      <w:r w:rsidR="00245A35">
        <w:rPr>
          <w:rFonts w:ascii="David" w:hAnsi="David" w:hint="cs"/>
          <w:rtl/>
        </w:rPr>
        <w:t>"</w:t>
      </w:r>
      <w:r w:rsidR="004B23A8" w:rsidRPr="004675BE">
        <w:rPr>
          <w:rFonts w:ascii="David" w:hAnsi="David"/>
          <w:rtl/>
        </w:rPr>
        <w:t>.</w:t>
      </w:r>
    </w:p>
    <w:p w:rsidR="004B23A8" w:rsidRDefault="004B23A8" w:rsidP="004675BE">
      <w:pPr>
        <w:spacing w:line="360" w:lineRule="auto"/>
        <w:ind w:left="141" w:hanging="425"/>
        <w:jc w:val="both"/>
        <w:rPr>
          <w:rFonts w:ascii="David" w:hAnsi="David"/>
          <w:rtl/>
        </w:rPr>
      </w:pPr>
    </w:p>
    <w:p w:rsidR="00245A35" w:rsidRDefault="0006283C" w:rsidP="00527EA0">
      <w:pPr>
        <w:pStyle w:val="ad"/>
        <w:numPr>
          <w:ilvl w:val="0"/>
          <w:numId w:val="1"/>
        </w:numPr>
        <w:spacing w:line="360" w:lineRule="auto"/>
        <w:ind w:left="141" w:hanging="425"/>
        <w:jc w:val="both"/>
        <w:rPr>
          <w:rFonts w:ascii="David" w:hAnsi="David"/>
        </w:rPr>
      </w:pPr>
      <w:r w:rsidRPr="004675BE">
        <w:rPr>
          <w:rFonts w:ascii="David" w:hAnsi="David" w:hint="cs"/>
          <w:rtl/>
        </w:rPr>
        <w:lastRenderedPageBreak/>
        <w:t xml:space="preserve">מקריאה ראשונה של הוראות אלה, אפשר לראותן כמנגנון המאזן בין כיבוד רצון המנוח, לבין הרצון לפקח </w:t>
      </w:r>
      <w:r w:rsidR="00527EA0">
        <w:rPr>
          <w:rFonts w:ascii="David" w:hAnsi="David" w:hint="cs"/>
          <w:rtl/>
        </w:rPr>
        <w:t>על</w:t>
      </w:r>
      <w:r w:rsidRPr="004675BE">
        <w:rPr>
          <w:rFonts w:ascii="David" w:hAnsi="David" w:hint="cs"/>
          <w:rtl/>
        </w:rPr>
        <w:t xml:space="preserve"> שכר הטרחה של מנהלי עזבון. מחד גיסא, רשאי המנוח לתת עוד בחייו הוראות הנוגעות לניהול העזבון, לרבות בחירת מנהל העזבון. המחוקק מעמיד ברירת מחדל לפיה רצון המנוח יכובד, אלא אם בית המשפט "</w:t>
      </w:r>
      <w:r w:rsidRPr="00245A35">
        <w:rPr>
          <w:rFonts w:ascii="Arial" w:hAnsi="Arial"/>
          <w:b/>
          <w:bCs/>
          <w:noProof w:val="0"/>
          <w:rtl/>
        </w:rPr>
        <w:t>משוכנע, מטעמים מיוחדים שיירשמו, שיש סיבות מיוחדות שלא למנותו</w:t>
      </w:r>
      <w:r w:rsidRPr="004675BE">
        <w:rPr>
          <w:rFonts w:ascii="Arial" w:hAnsi="Arial" w:hint="cs"/>
          <w:noProof w:val="0"/>
          <w:rtl/>
        </w:rPr>
        <w:t>". הוראות סעיף 95</w:t>
      </w:r>
      <w:r w:rsidR="00836235" w:rsidRPr="004675BE">
        <w:rPr>
          <w:rFonts w:ascii="David" w:hAnsi="David" w:hint="cs"/>
          <w:rtl/>
        </w:rPr>
        <w:t xml:space="preserve"> משלימות ומרחיבות עקרון זה לכל הוראה צוואתית שהניח המצווה בצוואתו ונתונה לשיקול דעתו של בית המשפט, ונקבע כי "</w:t>
      </w:r>
      <w:r w:rsidR="00836235" w:rsidRPr="00245A35">
        <w:rPr>
          <w:rFonts w:ascii="David" w:hAnsi="David"/>
          <w:b/>
          <w:bCs/>
          <w:rtl/>
        </w:rPr>
        <w:t>יפעל בית המשפט בהתאם להוראות אלה, זולת אם שוכנע, מטעמים שיירשמו, שהיו סיבות מיוחדות לסטות מהן</w:t>
      </w:r>
      <w:r w:rsidR="00836235" w:rsidRPr="004675BE">
        <w:rPr>
          <w:rFonts w:ascii="David" w:hAnsi="David" w:hint="cs"/>
          <w:rtl/>
        </w:rPr>
        <w:t xml:space="preserve">". </w:t>
      </w:r>
    </w:p>
    <w:p w:rsidR="00245A35" w:rsidRDefault="00245A35" w:rsidP="00245A35">
      <w:pPr>
        <w:pStyle w:val="ad"/>
        <w:spacing w:line="360" w:lineRule="auto"/>
        <w:ind w:left="141"/>
        <w:jc w:val="both"/>
        <w:rPr>
          <w:rFonts w:ascii="David" w:hAnsi="David"/>
          <w:rtl/>
        </w:rPr>
      </w:pPr>
    </w:p>
    <w:p w:rsidR="004B23A8" w:rsidRPr="004675BE" w:rsidRDefault="00836235" w:rsidP="00245A35">
      <w:pPr>
        <w:pStyle w:val="ad"/>
        <w:spacing w:line="360" w:lineRule="auto"/>
        <w:ind w:left="141"/>
        <w:jc w:val="both"/>
        <w:rPr>
          <w:rFonts w:ascii="David" w:hAnsi="David"/>
          <w:rtl/>
        </w:rPr>
      </w:pPr>
      <w:r w:rsidRPr="004675BE">
        <w:rPr>
          <w:rFonts w:ascii="David" w:hAnsi="David" w:hint="cs"/>
          <w:rtl/>
        </w:rPr>
        <w:t>נשאלת השאלה הפרשנית, האם שכר טרחת מנהל עזבון הנקוב בצוואה, שווה ערך לקביעת זהות מנהל העזבון הנדונה בסעיף 81? האם על בית המשפט לפעול לפי ציווי זה כנקוב בסעיף 95?</w:t>
      </w:r>
    </w:p>
    <w:p w:rsidR="00836235" w:rsidRDefault="00836235" w:rsidP="004675BE">
      <w:pPr>
        <w:spacing w:line="360" w:lineRule="auto"/>
        <w:ind w:left="141" w:hanging="425"/>
        <w:jc w:val="both"/>
        <w:rPr>
          <w:rFonts w:ascii="David" w:hAnsi="David"/>
          <w:rtl/>
        </w:rPr>
      </w:pPr>
    </w:p>
    <w:p w:rsidR="005A5120" w:rsidRPr="004675BE" w:rsidRDefault="00836235" w:rsidP="004675BE">
      <w:pPr>
        <w:pStyle w:val="ad"/>
        <w:numPr>
          <w:ilvl w:val="0"/>
          <w:numId w:val="1"/>
        </w:numPr>
        <w:spacing w:line="360" w:lineRule="auto"/>
        <w:ind w:left="141" w:hanging="425"/>
        <w:jc w:val="both"/>
        <w:rPr>
          <w:rFonts w:ascii="David" w:hAnsi="David"/>
          <w:rtl/>
        </w:rPr>
      </w:pPr>
      <w:r w:rsidRPr="004675BE">
        <w:rPr>
          <w:rFonts w:ascii="David" w:hAnsi="David" w:hint="cs"/>
          <w:rtl/>
        </w:rPr>
        <w:t>התשובה שניתנה לכך בפסיקה היא שלילית. במישור הלשוני, המחוקק לא העמיד הוראה בנוסח ס</w:t>
      </w:r>
      <w:r w:rsidR="005A5120" w:rsidRPr="004675BE">
        <w:rPr>
          <w:rFonts w:ascii="David" w:hAnsi="David" w:hint="cs"/>
          <w:rtl/>
        </w:rPr>
        <w:t>עיף 81 המתייחסת לשיעור שכר הטרחה, אלא לזהות מנהל העזבון בלבד. המחוקק הכפיף את שיקול דעתו של בית המשפט לעניין שכר הטרחה לנקוב בתקנות באמצעות סעיף 91. כבוד השופט יהושע גייפמן נדרש לפרשנות הוראות אלה בפסק דינו ב</w:t>
      </w:r>
      <w:r w:rsidR="005A5120" w:rsidRPr="004675BE">
        <w:rPr>
          <w:rFonts w:ascii="David" w:hAnsi="David"/>
          <w:rtl/>
        </w:rPr>
        <w:t>ת</w:t>
      </w:r>
      <w:r w:rsidR="005A5120" w:rsidRPr="004675BE">
        <w:rPr>
          <w:rFonts w:ascii="David" w:hAnsi="David" w:hint="cs"/>
          <w:rtl/>
        </w:rPr>
        <w:t>"</w:t>
      </w:r>
      <w:r w:rsidR="00B02619" w:rsidRPr="004675BE">
        <w:rPr>
          <w:rFonts w:ascii="David" w:hAnsi="David"/>
          <w:rtl/>
        </w:rPr>
        <w:t>ע 1130/98‏ ‏</w:t>
      </w:r>
      <w:r w:rsidR="005A5120" w:rsidRPr="004675BE">
        <w:rPr>
          <w:rFonts w:ascii="David" w:hAnsi="David"/>
          <w:b/>
          <w:bCs/>
          <w:rtl/>
        </w:rPr>
        <w:t>עיזבון המנוחה מרגריטה לוין ז"ל נ' ב"כ היועץ המשפטי לממשלה</w:t>
      </w:r>
      <w:r w:rsidR="005A5120" w:rsidRPr="004675BE">
        <w:rPr>
          <w:rFonts w:ascii="David" w:hAnsi="David"/>
          <w:rtl/>
        </w:rPr>
        <w:t xml:space="preserve"> </w:t>
      </w:r>
      <w:r w:rsidR="00DC7F4A" w:rsidRPr="004675BE">
        <w:rPr>
          <w:rFonts w:ascii="David" w:hAnsi="David" w:hint="cs"/>
          <w:rtl/>
        </w:rPr>
        <w:t>(</w:t>
      </w:r>
      <w:r w:rsidR="005A5120" w:rsidRPr="004675BE">
        <w:rPr>
          <w:rFonts w:ascii="David" w:hAnsi="David"/>
          <w:rtl/>
        </w:rPr>
        <w:t>מיום 6.11.2002</w:t>
      </w:r>
      <w:r w:rsidR="00DC7F4A" w:rsidRPr="004675BE">
        <w:rPr>
          <w:rFonts w:ascii="David" w:hAnsi="David" w:hint="cs"/>
          <w:rtl/>
        </w:rPr>
        <w:t>)</w:t>
      </w:r>
      <w:r w:rsidR="00B02619" w:rsidRPr="004675BE">
        <w:rPr>
          <w:rFonts w:ascii="David" w:hAnsi="David" w:hint="cs"/>
          <w:rtl/>
        </w:rPr>
        <w:t>:</w:t>
      </w:r>
    </w:p>
    <w:p w:rsidR="00B02619" w:rsidRDefault="00B02619" w:rsidP="004675BE">
      <w:pPr>
        <w:spacing w:line="360" w:lineRule="auto"/>
        <w:ind w:left="141" w:hanging="425"/>
        <w:jc w:val="both"/>
        <w:rPr>
          <w:rFonts w:ascii="David" w:hAnsi="David"/>
          <w:rtl/>
        </w:rPr>
      </w:pPr>
    </w:p>
    <w:p w:rsidR="005A5120" w:rsidRPr="004675BE" w:rsidRDefault="00B02619" w:rsidP="00483250">
      <w:pPr>
        <w:pStyle w:val="ad"/>
        <w:spacing w:line="360" w:lineRule="auto"/>
        <w:ind w:left="567" w:right="709"/>
        <w:jc w:val="both"/>
        <w:rPr>
          <w:rFonts w:ascii="David" w:hAnsi="David"/>
          <w:b/>
          <w:bCs/>
          <w:rtl/>
        </w:rPr>
      </w:pPr>
      <w:r w:rsidRPr="004675BE">
        <w:rPr>
          <w:rFonts w:ascii="David" w:hAnsi="David" w:hint="cs"/>
          <w:rtl/>
        </w:rPr>
        <w:t>"</w:t>
      </w:r>
      <w:r w:rsidR="005A5120" w:rsidRPr="004675BE">
        <w:rPr>
          <w:rFonts w:ascii="David" w:hAnsi="David"/>
          <w:b/>
          <w:bCs/>
          <w:rtl/>
        </w:rPr>
        <w:t>ב- 1998 הוחלפה הוראת סעיף 91 לחוק</w:t>
      </w:r>
      <w:r w:rsidRPr="004675BE">
        <w:rPr>
          <w:rFonts w:ascii="David" w:hAnsi="David"/>
          <w:b/>
          <w:bCs/>
          <w:rtl/>
        </w:rPr>
        <w:t xml:space="preserve"> הירושה בהוראה שונה, ונקבע בה: </w:t>
      </w:r>
      <w:r w:rsidRPr="004675BE">
        <w:rPr>
          <w:rFonts w:ascii="David" w:hAnsi="David" w:hint="cs"/>
          <w:b/>
          <w:bCs/>
          <w:rtl/>
        </w:rPr>
        <w:t>'</w:t>
      </w:r>
      <w:r w:rsidR="005A5120" w:rsidRPr="004675BE">
        <w:rPr>
          <w:rFonts w:ascii="David" w:hAnsi="David"/>
          <w:b/>
          <w:bCs/>
          <w:rtl/>
        </w:rPr>
        <w:t>בית המשפט רשאי לפסוק למנהל עיזבון שכר ל</w:t>
      </w:r>
      <w:r w:rsidRPr="004675BE">
        <w:rPr>
          <w:rFonts w:ascii="David" w:hAnsi="David"/>
          <w:b/>
          <w:bCs/>
          <w:rtl/>
        </w:rPr>
        <w:t>פי כללים שקבע שר המשפטים בתקנות</w:t>
      </w:r>
      <w:r w:rsidRPr="004675BE">
        <w:rPr>
          <w:rFonts w:ascii="David" w:hAnsi="David" w:hint="cs"/>
          <w:b/>
          <w:bCs/>
          <w:rtl/>
        </w:rPr>
        <w:t>'</w:t>
      </w:r>
      <w:r w:rsidR="005A5120" w:rsidRPr="004675BE">
        <w:rPr>
          <w:rFonts w:ascii="David" w:hAnsi="David"/>
          <w:b/>
          <w:bCs/>
          <w:rtl/>
        </w:rPr>
        <w:t>.</w:t>
      </w:r>
    </w:p>
    <w:p w:rsidR="00245A35" w:rsidRDefault="00245A35" w:rsidP="00483250">
      <w:pPr>
        <w:pStyle w:val="ad"/>
        <w:spacing w:line="360" w:lineRule="auto"/>
        <w:ind w:left="567" w:right="709"/>
        <w:jc w:val="both"/>
        <w:rPr>
          <w:rFonts w:ascii="David" w:hAnsi="David"/>
          <w:b/>
          <w:bCs/>
          <w:rtl/>
        </w:rPr>
      </w:pPr>
    </w:p>
    <w:p w:rsidR="005A5120" w:rsidRPr="004675BE" w:rsidRDefault="005A5120" w:rsidP="00483250">
      <w:pPr>
        <w:pStyle w:val="ad"/>
        <w:spacing w:line="360" w:lineRule="auto"/>
        <w:ind w:left="567" w:right="709"/>
        <w:jc w:val="both"/>
        <w:rPr>
          <w:rFonts w:ascii="David" w:hAnsi="David"/>
          <w:b/>
          <w:bCs/>
          <w:rtl/>
        </w:rPr>
      </w:pPr>
      <w:r w:rsidRPr="004675BE">
        <w:rPr>
          <w:rFonts w:ascii="David" w:hAnsi="David"/>
          <w:b/>
          <w:bCs/>
          <w:rtl/>
        </w:rPr>
        <w:t xml:space="preserve">מכח חקיקה ראשית זו נקבע בתקנות הירושה (תיקון מס' 3) תשס"א - </w:t>
      </w:r>
      <w:r w:rsidR="00B02619" w:rsidRPr="004675BE">
        <w:rPr>
          <w:rFonts w:ascii="David" w:hAnsi="David"/>
          <w:b/>
          <w:bCs/>
          <w:rtl/>
        </w:rPr>
        <w:t xml:space="preserve">2001 </w:t>
      </w:r>
      <w:r w:rsidR="00B02619" w:rsidRPr="004675BE">
        <w:rPr>
          <w:rFonts w:ascii="David" w:hAnsi="David" w:hint="cs"/>
          <w:b/>
          <w:bCs/>
          <w:rtl/>
        </w:rPr>
        <w:t>'</w:t>
      </w:r>
      <w:r w:rsidR="00B02619" w:rsidRPr="004675BE">
        <w:rPr>
          <w:rFonts w:ascii="David" w:hAnsi="David"/>
          <w:b/>
          <w:bCs/>
          <w:rtl/>
        </w:rPr>
        <w:t>תקרה</w:t>
      </w:r>
      <w:r w:rsidR="00B02619" w:rsidRPr="004675BE">
        <w:rPr>
          <w:rFonts w:ascii="David" w:hAnsi="David" w:hint="cs"/>
          <w:b/>
          <w:bCs/>
          <w:rtl/>
        </w:rPr>
        <w:t>'</w:t>
      </w:r>
      <w:r w:rsidRPr="004675BE">
        <w:rPr>
          <w:rFonts w:ascii="David" w:hAnsi="David"/>
          <w:b/>
          <w:bCs/>
          <w:rtl/>
        </w:rPr>
        <w:t xml:space="preserve"> לפסיקת שכר מנהל עיזבון - בשיעור של 3% משווי העיזבון, ובנסיבות מיוחדות, כאשר נדרש ביצוע פעולות חריגות או מאמץ מיוחד - בשיעור 4% משווי העיזבון.</w:t>
      </w:r>
    </w:p>
    <w:p w:rsidR="00245A35" w:rsidRDefault="00245A35" w:rsidP="00483250">
      <w:pPr>
        <w:pStyle w:val="ad"/>
        <w:spacing w:line="360" w:lineRule="auto"/>
        <w:ind w:left="567" w:right="709"/>
        <w:jc w:val="both"/>
        <w:rPr>
          <w:rFonts w:ascii="David" w:hAnsi="David"/>
          <w:b/>
          <w:bCs/>
          <w:rtl/>
        </w:rPr>
      </w:pPr>
    </w:p>
    <w:p w:rsidR="005A5120" w:rsidRPr="004675BE" w:rsidRDefault="005A5120" w:rsidP="00483250">
      <w:pPr>
        <w:pStyle w:val="ad"/>
        <w:spacing w:line="360" w:lineRule="auto"/>
        <w:ind w:left="567" w:right="709"/>
        <w:jc w:val="both"/>
        <w:rPr>
          <w:rFonts w:ascii="David" w:hAnsi="David"/>
          <w:b/>
          <w:bCs/>
          <w:rtl/>
        </w:rPr>
      </w:pPr>
      <w:r w:rsidRPr="004675BE">
        <w:rPr>
          <w:rFonts w:ascii="David" w:hAnsi="David"/>
          <w:b/>
          <w:bCs/>
          <w:rtl/>
        </w:rPr>
        <w:t>עפ"י החוק הקיים הוגבלה סמכותו של בית המשפט לפסוק שכר טרחה למנהל עיזבון עד לתקרה של 4% משווי העיזבון. צמצום טווח שיקול הדעת של בית המשפט נעשה מכוח חקיקה ראשית.</w:t>
      </w:r>
    </w:p>
    <w:p w:rsidR="00B02619" w:rsidRPr="00B02619" w:rsidRDefault="00B02619" w:rsidP="00483250">
      <w:pPr>
        <w:spacing w:line="360" w:lineRule="auto"/>
        <w:ind w:left="567" w:right="709" w:hanging="425"/>
        <w:jc w:val="both"/>
        <w:rPr>
          <w:rFonts w:ascii="David" w:hAnsi="David"/>
          <w:b/>
          <w:bCs/>
          <w:rtl/>
        </w:rPr>
      </w:pPr>
    </w:p>
    <w:p w:rsidR="005A5120" w:rsidRPr="004675BE" w:rsidRDefault="005A5120" w:rsidP="00483250">
      <w:pPr>
        <w:pStyle w:val="ad"/>
        <w:spacing w:line="360" w:lineRule="auto"/>
        <w:ind w:left="567" w:right="709"/>
        <w:jc w:val="both"/>
        <w:rPr>
          <w:rFonts w:ascii="David" w:hAnsi="David"/>
          <w:b/>
          <w:bCs/>
          <w:rtl/>
        </w:rPr>
      </w:pPr>
      <w:r w:rsidRPr="004675BE">
        <w:rPr>
          <w:rFonts w:ascii="David" w:hAnsi="David"/>
          <w:b/>
          <w:bCs/>
          <w:rtl/>
        </w:rPr>
        <w:t>פרשנות הוראת סעיף 95 לחוק הירושה, למקרא הוראת סעיף 91 לחוק הירושה, היא שמתן עדיפות להוראת המצווה בצוואה, לעניין גובה שכר הטירחה של מנהל העיזבון, מצויה רק בטווח שהושאר בחקיקה לשיקול דעת בית המשפט - עד לתקרה של 4% משווי העיזבון.</w:t>
      </w:r>
    </w:p>
    <w:p w:rsidR="00B02619" w:rsidRPr="00B02619" w:rsidRDefault="00B02619" w:rsidP="00483250">
      <w:pPr>
        <w:spacing w:line="360" w:lineRule="auto"/>
        <w:ind w:left="567" w:right="709" w:hanging="425"/>
        <w:jc w:val="both"/>
        <w:rPr>
          <w:rFonts w:ascii="David" w:hAnsi="David"/>
          <w:b/>
          <w:bCs/>
          <w:rtl/>
        </w:rPr>
      </w:pPr>
    </w:p>
    <w:p w:rsidR="005A5120" w:rsidRPr="004675BE" w:rsidRDefault="005A5120" w:rsidP="00483250">
      <w:pPr>
        <w:pStyle w:val="ad"/>
        <w:spacing w:line="360" w:lineRule="auto"/>
        <w:ind w:left="567" w:right="709"/>
        <w:jc w:val="both"/>
        <w:rPr>
          <w:rFonts w:ascii="David" w:hAnsi="David"/>
          <w:rtl/>
        </w:rPr>
      </w:pPr>
      <w:r w:rsidRPr="004675BE">
        <w:rPr>
          <w:rFonts w:ascii="David" w:hAnsi="David"/>
          <w:b/>
          <w:bCs/>
          <w:rtl/>
        </w:rPr>
        <w:t>פרשנות תכליתית</w:t>
      </w:r>
      <w:r w:rsidR="00B02619" w:rsidRPr="004675BE">
        <w:rPr>
          <w:rFonts w:ascii="David" w:hAnsi="David"/>
          <w:b/>
          <w:bCs/>
          <w:rtl/>
        </w:rPr>
        <w:t xml:space="preserve"> זו תואמת שיקולי  צדק והגינות</w:t>
      </w:r>
      <w:r w:rsidR="00B02619" w:rsidRPr="004675BE">
        <w:rPr>
          <w:rFonts w:ascii="David" w:hAnsi="David" w:hint="cs"/>
          <w:b/>
          <w:bCs/>
          <w:rtl/>
        </w:rPr>
        <w:t xml:space="preserve"> </w:t>
      </w:r>
      <w:r w:rsidR="00B02619" w:rsidRPr="004675BE">
        <w:rPr>
          <w:rFonts w:ascii="David" w:hAnsi="David" w:hint="cs"/>
          <w:rtl/>
        </w:rPr>
        <w:t>[...]" (ס' 16-15 לפסק הדין).</w:t>
      </w:r>
    </w:p>
    <w:p w:rsidR="00247F42" w:rsidRDefault="00247F42" w:rsidP="00483250">
      <w:pPr>
        <w:spacing w:line="360" w:lineRule="auto"/>
        <w:ind w:left="567" w:right="709" w:hanging="425"/>
        <w:jc w:val="both"/>
        <w:rPr>
          <w:rFonts w:ascii="Arial" w:hAnsi="Arial"/>
          <w:noProof w:val="0"/>
          <w:rtl/>
        </w:rPr>
      </w:pPr>
    </w:p>
    <w:p w:rsidR="00724E45" w:rsidRPr="004675BE" w:rsidRDefault="00B02619"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lastRenderedPageBreak/>
        <w:t>פסק הדין המנחה בסוגי</w:t>
      </w:r>
      <w:r w:rsidR="00724E45" w:rsidRPr="004675BE">
        <w:rPr>
          <w:rFonts w:ascii="Arial" w:hAnsi="Arial" w:hint="cs"/>
          <w:noProof w:val="0"/>
          <w:rtl/>
        </w:rPr>
        <w:t xml:space="preserve">ה ניתן בהסכמה מפי </w:t>
      </w:r>
      <w:r w:rsidR="00724E45" w:rsidRPr="007B5B53">
        <w:rPr>
          <w:rFonts w:ascii="Arial" w:hAnsi="Arial" w:hint="cs"/>
          <w:noProof w:val="0"/>
          <w:rtl/>
        </w:rPr>
        <w:t>כבוד הנשיא אורי גורן,</w:t>
      </w:r>
      <w:r w:rsidR="00724E45" w:rsidRPr="004675BE">
        <w:rPr>
          <w:rFonts w:ascii="Arial" w:hAnsi="Arial" w:hint="cs"/>
          <w:noProof w:val="0"/>
          <w:rtl/>
        </w:rPr>
        <w:t xml:space="preserve"> </w:t>
      </w:r>
      <w:r w:rsidR="007B5B53">
        <w:rPr>
          <w:rFonts w:ascii="Arial" w:hAnsi="Arial" w:hint="cs"/>
          <w:noProof w:val="0"/>
          <w:rtl/>
        </w:rPr>
        <w:t>ב-</w:t>
      </w:r>
      <w:r w:rsidR="00724E45" w:rsidRPr="004675BE">
        <w:rPr>
          <w:rFonts w:ascii="Arial" w:hAnsi="Arial"/>
          <w:noProof w:val="0"/>
          <w:rtl/>
        </w:rPr>
        <w:t>ע</w:t>
      </w:r>
      <w:r w:rsidR="00724E45" w:rsidRPr="004675BE">
        <w:rPr>
          <w:rFonts w:ascii="Arial" w:hAnsi="Arial" w:hint="cs"/>
          <w:noProof w:val="0"/>
          <w:rtl/>
        </w:rPr>
        <w:t>"</w:t>
      </w:r>
      <w:r w:rsidR="00724E45" w:rsidRPr="004675BE">
        <w:rPr>
          <w:rFonts w:ascii="Arial" w:hAnsi="Arial"/>
          <w:noProof w:val="0"/>
          <w:rtl/>
        </w:rPr>
        <w:t xml:space="preserve">מ (ת"א) 1043/04 </w:t>
      </w:r>
      <w:r w:rsidR="00724E45" w:rsidRPr="00245A35">
        <w:rPr>
          <w:rFonts w:ascii="Arial" w:hAnsi="Arial"/>
          <w:b/>
          <w:bCs/>
          <w:noProof w:val="0"/>
          <w:rtl/>
        </w:rPr>
        <w:t>עיזבון המנוחה ח' נ' ז"ל נ' במשרד האפוטרופוס הכללי</w:t>
      </w:r>
      <w:r w:rsidR="00724E45" w:rsidRPr="004675BE">
        <w:rPr>
          <w:rFonts w:ascii="Arial" w:hAnsi="Arial" w:hint="cs"/>
          <w:noProof w:val="0"/>
          <w:rtl/>
        </w:rPr>
        <w:t xml:space="preserve"> (מיום 25.4.2007</w:t>
      </w:r>
      <w:r w:rsidR="00117FDA" w:rsidRPr="004675BE">
        <w:rPr>
          <w:rFonts w:ascii="Arial" w:hAnsi="Arial" w:hint="cs"/>
          <w:noProof w:val="0"/>
          <w:rtl/>
        </w:rPr>
        <w:t xml:space="preserve">, להלן </w:t>
      </w:r>
      <w:r w:rsidR="00117FDA" w:rsidRPr="004675BE">
        <w:rPr>
          <w:rFonts w:ascii="Arial" w:hAnsi="Arial"/>
          <w:noProof w:val="0"/>
          <w:rtl/>
        </w:rPr>
        <w:t>–</w:t>
      </w:r>
      <w:r w:rsidR="00117FDA" w:rsidRPr="004675BE">
        <w:rPr>
          <w:rFonts w:ascii="Arial" w:hAnsi="Arial" w:hint="cs"/>
          <w:noProof w:val="0"/>
          <w:rtl/>
        </w:rPr>
        <w:t xml:space="preserve"> "</w:t>
      </w:r>
      <w:r w:rsidR="00117FDA" w:rsidRPr="00245A35">
        <w:rPr>
          <w:rFonts w:ascii="Arial" w:hAnsi="Arial" w:hint="cs"/>
          <w:b/>
          <w:bCs/>
          <w:noProof w:val="0"/>
          <w:rtl/>
        </w:rPr>
        <w:t>המנוחה ח'</w:t>
      </w:r>
      <w:r w:rsidR="00117FDA" w:rsidRPr="004675BE">
        <w:rPr>
          <w:rFonts w:ascii="Arial" w:hAnsi="Arial" w:hint="cs"/>
          <w:noProof w:val="0"/>
          <w:rtl/>
        </w:rPr>
        <w:t>"</w:t>
      </w:r>
      <w:r w:rsidR="00724E45" w:rsidRPr="004675BE">
        <w:rPr>
          <w:rFonts w:ascii="Arial" w:hAnsi="Arial" w:hint="cs"/>
          <w:noProof w:val="0"/>
          <w:rtl/>
        </w:rPr>
        <w:t>). בפסק דינו סוקר בית המשפט את הרקע והתכלית שבבסיס תיקון סעיף 91 לחוק הירושה</w:t>
      </w:r>
      <w:r w:rsidR="005819A1" w:rsidRPr="004675BE">
        <w:rPr>
          <w:rFonts w:ascii="Arial" w:hAnsi="Arial" w:hint="cs"/>
          <w:noProof w:val="0"/>
          <w:rtl/>
        </w:rPr>
        <w:t>, לאחריהן מניח את גבולות הסוגיה:</w:t>
      </w:r>
    </w:p>
    <w:p w:rsidR="005819A1" w:rsidRDefault="005819A1" w:rsidP="004675BE">
      <w:pPr>
        <w:spacing w:line="360" w:lineRule="auto"/>
        <w:ind w:left="141" w:hanging="425"/>
        <w:jc w:val="both"/>
        <w:rPr>
          <w:rFonts w:ascii="Arial" w:hAnsi="Arial"/>
          <w:noProof w:val="0"/>
          <w:rtl/>
        </w:rPr>
      </w:pPr>
    </w:p>
    <w:p w:rsidR="005819A1" w:rsidRPr="004675BE" w:rsidRDefault="005819A1" w:rsidP="00245A35">
      <w:pPr>
        <w:pStyle w:val="ad"/>
        <w:spacing w:line="360" w:lineRule="auto"/>
        <w:ind w:left="567" w:right="426"/>
        <w:jc w:val="both"/>
        <w:rPr>
          <w:rFonts w:ascii="Arial" w:hAnsi="Arial"/>
          <w:noProof w:val="0"/>
          <w:rtl/>
        </w:rPr>
      </w:pPr>
      <w:r w:rsidRPr="004675BE">
        <w:rPr>
          <w:rFonts w:ascii="Arial" w:hAnsi="Arial" w:hint="cs"/>
          <w:noProof w:val="0"/>
          <w:rtl/>
        </w:rPr>
        <w:t>"</w:t>
      </w:r>
      <w:r w:rsidRPr="004675BE">
        <w:rPr>
          <w:rFonts w:ascii="Arial" w:hAnsi="Arial"/>
          <w:b/>
          <w:bCs/>
          <w:noProof w:val="0"/>
          <w:rtl/>
        </w:rPr>
        <w:t>על רקע הניתוח דלעיל, המסקנה המתבקשת לעניין תיקון סעיף 91 לחוק הירושה והתקנת התקנות בשנת תשנ"ח (להלן ביחד – התיקון) הינה, כי מטרת המחוקק היתה להגביר את הפיקוח על שכרם של מנהלי עיזבון, כחלק מהצורך בפיקוח הדוק ומתמיד על כלל פעולותיהם. הגברת הפיקוח נעשתה, בשלב הראשון (התיקון), באמצעות צמצום שיקול הדעת המסור לבית-המשפט, והכפפתו, בשלב השני (תיקון התקנות בשנת תשס"א), לאמות-מידה שלאורן ייקבע השכר במסגרת הגבולות שהותוו. בשים לב לתכלית זו השאלה המתעוררת הינה, כלום יש ביכולתו של המצווה לחרוג מהגבולות שנקבעו במסגרת התיקון באמצעות הוראה מפורשת בצוואה המתנה עליהם?</w:t>
      </w:r>
      <w:r w:rsidRPr="004675BE">
        <w:rPr>
          <w:rFonts w:ascii="Arial" w:hAnsi="Arial" w:hint="cs"/>
          <w:noProof w:val="0"/>
          <w:rtl/>
        </w:rPr>
        <w:t>"</w:t>
      </w:r>
      <w:r w:rsidRPr="004675BE">
        <w:rPr>
          <w:rFonts w:ascii="Arial" w:hAnsi="Arial"/>
          <w:noProof w:val="0"/>
          <w:rtl/>
        </w:rPr>
        <w:t xml:space="preserve"> </w:t>
      </w:r>
      <w:r w:rsidRPr="004675BE">
        <w:rPr>
          <w:rFonts w:ascii="Arial" w:hAnsi="Arial" w:hint="cs"/>
          <w:noProof w:val="0"/>
          <w:rtl/>
        </w:rPr>
        <w:t>(ס' 29 לפסק הדין)</w:t>
      </w:r>
      <w:r w:rsidRPr="004675BE">
        <w:rPr>
          <w:rFonts w:ascii="Arial" w:hAnsi="Arial"/>
          <w:noProof w:val="0"/>
          <w:rtl/>
        </w:rPr>
        <w:t>.</w:t>
      </w:r>
    </w:p>
    <w:p w:rsidR="005819A1" w:rsidRDefault="005819A1" w:rsidP="004675BE">
      <w:pPr>
        <w:spacing w:line="360" w:lineRule="auto"/>
        <w:ind w:left="141" w:hanging="425"/>
        <w:jc w:val="both"/>
        <w:rPr>
          <w:rFonts w:ascii="Arial" w:hAnsi="Arial"/>
          <w:noProof w:val="0"/>
          <w:rtl/>
        </w:rPr>
      </w:pPr>
    </w:p>
    <w:p w:rsidR="005819A1" w:rsidRPr="004675BE" w:rsidRDefault="005819A1"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על רקע תכלית זו, מוצא בית המשפט כי עריכת צוואה, כמו כל פעולה משפטית</w:t>
      </w:r>
      <w:r w:rsidR="00C53FAD" w:rsidRPr="004675BE">
        <w:rPr>
          <w:rFonts w:ascii="Arial" w:hAnsi="Arial" w:hint="cs"/>
          <w:noProof w:val="0"/>
          <w:rtl/>
        </w:rPr>
        <w:t>, כפופה לנורמות החברתיות אותן שיקף המחוקק ומחוקק המשנה במעשה חקיקה:</w:t>
      </w:r>
    </w:p>
    <w:p w:rsidR="00C53FAD" w:rsidRDefault="00C53FAD" w:rsidP="004675BE">
      <w:pPr>
        <w:spacing w:line="360" w:lineRule="auto"/>
        <w:ind w:left="141" w:hanging="425"/>
        <w:jc w:val="both"/>
        <w:rPr>
          <w:rFonts w:ascii="Arial" w:hAnsi="Arial"/>
          <w:noProof w:val="0"/>
          <w:rtl/>
        </w:rPr>
      </w:pPr>
    </w:p>
    <w:p w:rsidR="00C53FAD" w:rsidRPr="004675BE" w:rsidRDefault="00C53FAD" w:rsidP="007B5B53">
      <w:pPr>
        <w:pStyle w:val="ad"/>
        <w:spacing w:line="360" w:lineRule="auto"/>
        <w:ind w:left="567" w:right="426"/>
        <w:jc w:val="both"/>
        <w:rPr>
          <w:rFonts w:ascii="Arial" w:hAnsi="Arial"/>
          <w:noProof w:val="0"/>
          <w:rtl/>
        </w:rPr>
      </w:pPr>
      <w:r w:rsidRPr="004675BE">
        <w:rPr>
          <w:rFonts w:ascii="Arial" w:hAnsi="Arial" w:hint="cs"/>
          <w:noProof w:val="0"/>
          <w:rtl/>
        </w:rPr>
        <w:t>"</w:t>
      </w:r>
      <w:r w:rsidRPr="004675BE">
        <w:rPr>
          <w:rFonts w:ascii="Arial" w:hAnsi="Arial"/>
          <w:b/>
          <w:bCs/>
          <w:noProof w:val="0"/>
          <w:rtl/>
        </w:rPr>
        <w:t>די לטעמי בכך שהמצווה ביקש, וביודעין, לחרוג מאמות-המידה שמכתיב הדין בעניין שכרו של מנהל העיזבון, כדי להוביל לתוצאה הנותנת תוקף לרצון זה רק עד כדי גובה השכר המירבי שניתן לפסוק למנהל העיזבון על-פי הדין. כשם שצוואה – כמו חוזה, ולמעשה ככל פעולה משפטית – כפופה לעקרונות הכלליים בדבר חוקיות ביצועה</w:t>
      </w:r>
      <w:r w:rsidRPr="004675BE">
        <w:rPr>
          <w:rFonts w:ascii="Arial" w:hAnsi="Arial"/>
          <w:noProof w:val="0"/>
          <w:rtl/>
        </w:rPr>
        <w:t xml:space="preserve"> </w:t>
      </w:r>
      <w:r w:rsidRPr="004675BE">
        <w:rPr>
          <w:rFonts w:ascii="Arial" w:hAnsi="Arial" w:hint="cs"/>
          <w:noProof w:val="0"/>
          <w:rtl/>
        </w:rPr>
        <w:t>[...]</w:t>
      </w:r>
      <w:r w:rsidRPr="004675BE">
        <w:rPr>
          <w:rFonts w:ascii="Arial" w:hAnsi="Arial"/>
          <w:noProof w:val="0"/>
          <w:rtl/>
        </w:rPr>
        <w:t xml:space="preserve"> </w:t>
      </w:r>
      <w:r w:rsidRPr="004675BE">
        <w:rPr>
          <w:rFonts w:ascii="Arial" w:hAnsi="Arial"/>
          <w:b/>
          <w:bCs/>
          <w:noProof w:val="0"/>
          <w:rtl/>
        </w:rPr>
        <w:t>ובדבר תקנת הציבור</w:t>
      </w:r>
      <w:r w:rsidRPr="004675BE">
        <w:rPr>
          <w:rFonts w:ascii="Arial" w:hAnsi="Arial"/>
          <w:noProof w:val="0"/>
          <w:rtl/>
        </w:rPr>
        <w:t xml:space="preserve"> </w:t>
      </w:r>
      <w:r w:rsidRPr="004675BE">
        <w:rPr>
          <w:rFonts w:ascii="Arial" w:hAnsi="Arial" w:hint="cs"/>
          <w:noProof w:val="0"/>
          <w:rtl/>
        </w:rPr>
        <w:t xml:space="preserve">[...] </w:t>
      </w:r>
      <w:r w:rsidRPr="004675BE">
        <w:rPr>
          <w:rFonts w:ascii="Arial" w:hAnsi="Arial"/>
          <w:b/>
          <w:bCs/>
          <w:noProof w:val="0"/>
          <w:rtl/>
        </w:rPr>
        <w:t>כך כפופה הצוואה, וכפוף המצווה, לתפיסות החברתיות והציבוריות שהובילו את המחוקק הראשי ואת מחוקק-המשנה להגביל במסגרת התיקון את שיקול דעתו של בית-המשפט בפסיקת שכרם של מנהלי עיזבון. ודוק: המחוקק נתן עדיפות לרצון המצווה בכל הקשור, למשל, לזהות מנהל העיזבון (סעיף 81 לחוק הירושה), אך הוא נמנע – וכנראה לא בכדי – מלחוקק הוראה מקבילה וספציפית לגבי קביעת שכרו של מנהל העיזבון על-ידי המצווה</w:t>
      </w:r>
      <w:r w:rsidRPr="004675BE">
        <w:rPr>
          <w:rFonts w:ascii="Arial" w:hAnsi="Arial" w:hint="cs"/>
          <w:noProof w:val="0"/>
          <w:rtl/>
        </w:rPr>
        <w:t>" (ס' 34)</w:t>
      </w:r>
    </w:p>
    <w:p w:rsidR="00C53FAD" w:rsidRDefault="00C53FAD" w:rsidP="004675BE">
      <w:pPr>
        <w:spacing w:line="360" w:lineRule="auto"/>
        <w:ind w:left="141" w:hanging="425"/>
        <w:jc w:val="both"/>
        <w:rPr>
          <w:rFonts w:ascii="Arial" w:hAnsi="Arial"/>
          <w:noProof w:val="0"/>
          <w:rtl/>
        </w:rPr>
      </w:pPr>
    </w:p>
    <w:p w:rsidR="00C53FAD" w:rsidRPr="004675BE" w:rsidRDefault="00C53FAD"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בית המשפט מעמיד נימוק נוסף לקביעה זו, ומוצא את ההוראות בחוק</w:t>
      </w:r>
      <w:r w:rsidR="009630A8" w:rsidRPr="004675BE">
        <w:rPr>
          <w:rFonts w:ascii="Arial" w:hAnsi="Arial" w:hint="cs"/>
          <w:noProof w:val="0"/>
          <w:rtl/>
        </w:rPr>
        <w:t xml:space="preserve"> הירושה, את התיקון לחוק ואת התקנת התקנות, כהוראות כופות, שלא ניתן להתנות עליהן בצוואה:</w:t>
      </w:r>
    </w:p>
    <w:p w:rsidR="009630A8" w:rsidRDefault="009630A8" w:rsidP="004675BE">
      <w:pPr>
        <w:spacing w:line="360" w:lineRule="auto"/>
        <w:ind w:left="141" w:hanging="425"/>
        <w:jc w:val="both"/>
        <w:rPr>
          <w:rFonts w:ascii="Arial" w:hAnsi="Arial"/>
          <w:noProof w:val="0"/>
          <w:rtl/>
        </w:rPr>
      </w:pPr>
    </w:p>
    <w:p w:rsidR="009630A8" w:rsidRPr="004675BE" w:rsidRDefault="009630A8" w:rsidP="007B5B53">
      <w:pPr>
        <w:pStyle w:val="ad"/>
        <w:spacing w:line="360" w:lineRule="auto"/>
        <w:ind w:left="567" w:right="426"/>
        <w:jc w:val="both"/>
        <w:rPr>
          <w:rFonts w:ascii="Arial" w:hAnsi="Arial"/>
          <w:b/>
          <w:bCs/>
          <w:noProof w:val="0"/>
          <w:rtl/>
        </w:rPr>
      </w:pPr>
      <w:r w:rsidRPr="004675BE">
        <w:rPr>
          <w:rFonts w:ascii="Arial" w:hAnsi="Arial" w:hint="cs"/>
          <w:noProof w:val="0"/>
          <w:rtl/>
        </w:rPr>
        <w:t>"</w:t>
      </w:r>
      <w:r w:rsidRPr="004675BE">
        <w:rPr>
          <w:rFonts w:ascii="Arial" w:hAnsi="Arial"/>
          <w:b/>
          <w:bCs/>
          <w:noProof w:val="0"/>
          <w:rtl/>
        </w:rPr>
        <w:t xml:space="preserve">לאותה תוצאה ניתן להגיע גם בדרך אחרת, והיא זו הנוגעת לאבחנה המוכרת בין הוראת דין כופה (קוגנטית) שאין להתנות עליה, לבין הוראת דין מרשה (דיספוזיטיבית) המשמשת אך כברירת מחדל. הכלל הוא, כי ככל שקיים אינטרס ציבורי בקיומה של </w:t>
      </w:r>
      <w:r w:rsidRPr="004675BE">
        <w:rPr>
          <w:rFonts w:ascii="Arial" w:hAnsi="Arial"/>
          <w:b/>
          <w:bCs/>
          <w:noProof w:val="0"/>
          <w:rtl/>
        </w:rPr>
        <w:lastRenderedPageBreak/>
        <w:t>הוראת החוק בכל הנסיבות, כך תגבר הנטייה לראותה כהוראה כופה שאין להתנות עליה</w:t>
      </w:r>
      <w:r w:rsidRPr="004675BE">
        <w:rPr>
          <w:rFonts w:ascii="Arial" w:hAnsi="Arial" w:hint="cs"/>
          <w:b/>
          <w:bCs/>
          <w:noProof w:val="0"/>
          <w:rtl/>
        </w:rPr>
        <w:t xml:space="preserve"> [...]</w:t>
      </w:r>
      <w:r w:rsidRPr="004675BE">
        <w:rPr>
          <w:rFonts w:ascii="Arial" w:hAnsi="Arial"/>
          <w:b/>
          <w:bCs/>
          <w:noProof w:val="0"/>
          <w:rtl/>
        </w:rPr>
        <w:t xml:space="preserve"> </w:t>
      </w:r>
    </w:p>
    <w:p w:rsidR="009630A8" w:rsidRPr="009630A8" w:rsidRDefault="009630A8" w:rsidP="007B5B53">
      <w:pPr>
        <w:spacing w:line="360" w:lineRule="auto"/>
        <w:ind w:left="567" w:right="426" w:hanging="425"/>
        <w:jc w:val="both"/>
        <w:rPr>
          <w:rFonts w:ascii="Arial" w:hAnsi="Arial"/>
          <w:b/>
          <w:bCs/>
          <w:noProof w:val="0"/>
          <w:rtl/>
        </w:rPr>
      </w:pPr>
    </w:p>
    <w:p w:rsidR="009630A8" w:rsidRPr="004675BE" w:rsidRDefault="009630A8" w:rsidP="007B5B53">
      <w:pPr>
        <w:pStyle w:val="ad"/>
        <w:spacing w:line="360" w:lineRule="auto"/>
        <w:ind w:left="567" w:right="426"/>
        <w:jc w:val="both"/>
        <w:rPr>
          <w:rFonts w:ascii="Arial" w:hAnsi="Arial"/>
          <w:noProof w:val="0"/>
          <w:rtl/>
        </w:rPr>
      </w:pPr>
      <w:r w:rsidRPr="004675BE">
        <w:rPr>
          <w:rFonts w:ascii="Arial" w:hAnsi="Arial" w:hint="cs"/>
          <w:b/>
          <w:bCs/>
          <w:noProof w:val="0"/>
          <w:rtl/>
        </w:rPr>
        <w:t>"</w:t>
      </w:r>
      <w:r w:rsidRPr="004675BE">
        <w:rPr>
          <w:rFonts w:ascii="Arial" w:hAnsi="Arial"/>
          <w:b/>
          <w:bCs/>
          <w:noProof w:val="0"/>
          <w:rtl/>
        </w:rPr>
        <w:t>יישומן של אמות-מידה אלו על העניין שבפנינו מוליך למסקנה כי הוראות חוק הירושה הנוגעות לפיקוח בית-המשפט על מנהל העיזבון בכלל, והוראות התיקון הנוגעות לשכרו של מנהל העיזבון בפרט, הינן הוראות כופות, שלא ניתן להתנות עליהן, אף לא בהוראת צוואה מפורשת</w:t>
      </w:r>
      <w:r w:rsidRPr="004675BE">
        <w:rPr>
          <w:rFonts w:ascii="Arial" w:hAnsi="Arial" w:hint="cs"/>
          <w:noProof w:val="0"/>
          <w:rtl/>
        </w:rPr>
        <w:t>" (ס' 37-36).</w:t>
      </w:r>
    </w:p>
    <w:p w:rsidR="009630A8" w:rsidRDefault="009630A8" w:rsidP="004675BE">
      <w:pPr>
        <w:spacing w:line="360" w:lineRule="auto"/>
        <w:ind w:left="141" w:hanging="425"/>
        <w:jc w:val="both"/>
        <w:rPr>
          <w:rFonts w:ascii="Arial" w:hAnsi="Arial"/>
          <w:noProof w:val="0"/>
          <w:rtl/>
        </w:rPr>
      </w:pPr>
    </w:p>
    <w:p w:rsidR="009630A8" w:rsidRPr="004675BE" w:rsidRDefault="009630A8"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בית המשפט תומך את הכרעתו גם בעמדת </w:t>
      </w:r>
      <w:r w:rsidRPr="007B5B53">
        <w:rPr>
          <w:rFonts w:ascii="Arial" w:hAnsi="Arial" w:hint="cs"/>
          <w:noProof w:val="0"/>
          <w:rtl/>
        </w:rPr>
        <w:t>פרופ' שילה,</w:t>
      </w:r>
      <w:r w:rsidRPr="004675BE">
        <w:rPr>
          <w:rFonts w:ascii="Arial" w:hAnsi="Arial" w:hint="cs"/>
          <w:noProof w:val="0"/>
          <w:rtl/>
        </w:rPr>
        <w:t xml:space="preserve"> המובאת בפסק הדין, ויש בה חשיבות לענייננו:</w:t>
      </w:r>
    </w:p>
    <w:p w:rsidR="009630A8" w:rsidRDefault="009630A8" w:rsidP="004675BE">
      <w:pPr>
        <w:spacing w:line="360" w:lineRule="auto"/>
        <w:ind w:left="141" w:hanging="425"/>
        <w:jc w:val="both"/>
        <w:rPr>
          <w:rFonts w:ascii="Arial" w:hAnsi="Arial"/>
          <w:noProof w:val="0"/>
          <w:rtl/>
        </w:rPr>
      </w:pPr>
    </w:p>
    <w:p w:rsidR="009630A8" w:rsidRPr="004675BE" w:rsidRDefault="009630A8" w:rsidP="007B5B53">
      <w:pPr>
        <w:pStyle w:val="ad"/>
        <w:spacing w:line="360" w:lineRule="auto"/>
        <w:ind w:left="567" w:right="426"/>
        <w:jc w:val="both"/>
        <w:rPr>
          <w:rFonts w:ascii="Arial" w:hAnsi="Arial"/>
          <w:noProof w:val="0"/>
          <w:rtl/>
        </w:rPr>
      </w:pPr>
      <w:r w:rsidRPr="004675BE">
        <w:rPr>
          <w:rFonts w:ascii="Arial" w:hAnsi="Arial"/>
          <w:noProof w:val="0"/>
          <w:rtl/>
        </w:rPr>
        <w:t>"</w:t>
      </w:r>
      <w:r w:rsidRPr="004675BE">
        <w:rPr>
          <w:rFonts w:ascii="Arial" w:hAnsi="Arial" w:hint="cs"/>
          <w:noProof w:val="0"/>
          <w:rtl/>
        </w:rPr>
        <w:t>[...]</w:t>
      </w:r>
      <w:r w:rsidRPr="004675BE">
        <w:rPr>
          <w:rFonts w:ascii="Arial" w:hAnsi="Arial"/>
          <w:noProof w:val="0"/>
          <w:rtl/>
        </w:rPr>
        <w:t xml:space="preserve"> </w:t>
      </w:r>
      <w:r w:rsidRPr="004675BE">
        <w:rPr>
          <w:rFonts w:ascii="Arial" w:hAnsi="Arial"/>
          <w:b/>
          <w:bCs/>
          <w:noProof w:val="0"/>
          <w:rtl/>
        </w:rPr>
        <w:t xml:space="preserve">נדמה שלאור סעיף 91 והתקנות שהותקנו, אין לאשר הוראה בצוואה החורגת מעבר לתקרה שאושרה כשכר מנהל עיזבון. אם ההוראה נכנסת למסגרת הסכום שמותר לפסקו, יש לתת משקל להוראת המצווה. אם ההוראה היא לתת למנהל העיזבון פחות מהמגיע לו על פי התקנות, אין לגרוע מזכות מנהל העיזבון על פי חוק והתקנות. רק אם ההוראה קובעת כי יש לתת למנהל יותר ממה שאובייקטיבית סביר לפסוק לו כשכר, יש להתחשב בהוראת המוריש. אולם, כאמור, התשלום יהיה </w:t>
      </w:r>
      <w:r w:rsidR="00EC7A19" w:rsidRPr="004675BE">
        <w:rPr>
          <w:rFonts w:ascii="Arial" w:hAnsi="Arial"/>
          <w:b/>
          <w:bCs/>
          <w:noProof w:val="0"/>
          <w:rtl/>
        </w:rPr>
        <w:t>רק עד התקרה המותרת על פי התקנות</w:t>
      </w:r>
      <w:r w:rsidRPr="004675BE">
        <w:rPr>
          <w:rFonts w:ascii="Arial" w:hAnsi="Arial"/>
          <w:noProof w:val="0"/>
          <w:rtl/>
        </w:rPr>
        <w:t xml:space="preserve">" </w:t>
      </w:r>
      <w:r w:rsidR="00EC7A19" w:rsidRPr="004675BE">
        <w:rPr>
          <w:rFonts w:ascii="Arial" w:hAnsi="Arial" w:hint="cs"/>
          <w:noProof w:val="0"/>
          <w:rtl/>
        </w:rPr>
        <w:t>(ס' 40 לפסק הדין).</w:t>
      </w:r>
    </w:p>
    <w:p w:rsidR="00EC7A19" w:rsidRDefault="00EC7A19" w:rsidP="004675BE">
      <w:pPr>
        <w:spacing w:line="360" w:lineRule="auto"/>
        <w:ind w:left="141" w:hanging="425"/>
        <w:jc w:val="both"/>
        <w:rPr>
          <w:rFonts w:ascii="Arial" w:hAnsi="Arial"/>
          <w:noProof w:val="0"/>
          <w:rtl/>
        </w:rPr>
      </w:pPr>
    </w:p>
    <w:p w:rsidR="00EC7A19" w:rsidRPr="004675BE" w:rsidRDefault="00EC7A19"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זהו אפוא פסק הדין המנחה בסוגיה. בקשת רשות ערעור שהוגשה על פסק הדין, נדחתה (</w:t>
      </w:r>
      <w:r w:rsidRPr="004675BE">
        <w:rPr>
          <w:rFonts w:ascii="Arial" w:hAnsi="Arial"/>
          <w:noProof w:val="0"/>
          <w:rtl/>
        </w:rPr>
        <w:t>בע</w:t>
      </w:r>
      <w:r w:rsidRPr="004675BE">
        <w:rPr>
          <w:rFonts w:ascii="Arial" w:hAnsi="Arial" w:hint="cs"/>
          <w:noProof w:val="0"/>
          <w:rtl/>
        </w:rPr>
        <w:t>"</w:t>
      </w:r>
      <w:r w:rsidRPr="004675BE">
        <w:rPr>
          <w:rFonts w:ascii="Arial" w:hAnsi="Arial"/>
          <w:noProof w:val="0"/>
          <w:rtl/>
        </w:rPr>
        <w:t>מ 4323/07 ‏</w:t>
      </w:r>
      <w:r w:rsidRPr="004675BE">
        <w:rPr>
          <w:rFonts w:ascii="Arial" w:hAnsi="Arial"/>
          <w:b/>
          <w:bCs/>
          <w:noProof w:val="0"/>
          <w:rtl/>
        </w:rPr>
        <w:t>פלוני נ' היועץ המשפטי לממשלה</w:t>
      </w:r>
      <w:r w:rsidRPr="004675BE">
        <w:rPr>
          <w:rFonts w:ascii="Arial" w:hAnsi="Arial"/>
          <w:noProof w:val="0"/>
          <w:rtl/>
        </w:rPr>
        <w:t xml:space="preserve"> </w:t>
      </w:r>
      <w:r w:rsidRPr="004675BE">
        <w:rPr>
          <w:rFonts w:ascii="Arial" w:hAnsi="Arial" w:hint="cs"/>
          <w:noProof w:val="0"/>
          <w:rtl/>
        </w:rPr>
        <w:t>(</w:t>
      </w:r>
      <w:r w:rsidRPr="004675BE">
        <w:rPr>
          <w:rFonts w:ascii="Arial" w:hAnsi="Arial"/>
          <w:noProof w:val="0"/>
          <w:rtl/>
        </w:rPr>
        <w:t>מיום 11.5.09</w:t>
      </w:r>
      <w:r w:rsidRPr="004675BE">
        <w:rPr>
          <w:rFonts w:ascii="Arial" w:hAnsi="Arial" w:hint="cs"/>
          <w:noProof w:val="0"/>
          <w:rtl/>
        </w:rPr>
        <w:t>).</w:t>
      </w:r>
    </w:p>
    <w:p w:rsidR="00EC7A19" w:rsidRDefault="00EC7A19" w:rsidP="004675BE">
      <w:pPr>
        <w:spacing w:line="360" w:lineRule="auto"/>
        <w:ind w:left="141" w:hanging="425"/>
        <w:jc w:val="both"/>
        <w:rPr>
          <w:rFonts w:ascii="Arial" w:hAnsi="Arial"/>
          <w:noProof w:val="0"/>
          <w:rtl/>
        </w:rPr>
      </w:pPr>
    </w:p>
    <w:p w:rsidR="0088085E" w:rsidRPr="004675BE" w:rsidRDefault="00472E20"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אמור אפוא מעתה </w:t>
      </w:r>
      <w:r w:rsidRPr="004675BE">
        <w:rPr>
          <w:rFonts w:ascii="Arial" w:hAnsi="Arial"/>
          <w:noProof w:val="0"/>
          <w:rtl/>
        </w:rPr>
        <w:t>–</w:t>
      </w:r>
      <w:r w:rsidRPr="004675BE">
        <w:rPr>
          <w:rFonts w:ascii="Arial" w:hAnsi="Arial" w:hint="cs"/>
          <w:noProof w:val="0"/>
          <w:rtl/>
        </w:rPr>
        <w:t xml:space="preserve"> שכר טרחתו של מנהל עזבון, גם אם נקוב בצוואה כדין, אינו יכול לעלות בשיעורו על השיעור המקסימלי הנקוב בתקנות. כוחו של המצווה להותיר </w:t>
      </w:r>
      <w:r w:rsidR="00B32E44" w:rsidRPr="004675BE">
        <w:rPr>
          <w:rFonts w:ascii="Arial" w:hAnsi="Arial" w:hint="cs"/>
          <w:noProof w:val="0"/>
          <w:rtl/>
        </w:rPr>
        <w:t xml:space="preserve">בעודו בחייו </w:t>
      </w:r>
      <w:r w:rsidRPr="004675BE">
        <w:rPr>
          <w:rFonts w:ascii="Arial" w:hAnsi="Arial" w:hint="cs"/>
          <w:noProof w:val="0"/>
          <w:rtl/>
        </w:rPr>
        <w:t>הוראות הנוגעות לניהול עזבונו</w:t>
      </w:r>
      <w:r w:rsidR="00B32E44" w:rsidRPr="004675BE">
        <w:rPr>
          <w:rFonts w:ascii="Arial" w:hAnsi="Arial" w:hint="cs"/>
          <w:noProof w:val="0"/>
          <w:rtl/>
        </w:rPr>
        <w:t>,</w:t>
      </w:r>
      <w:r w:rsidRPr="004675BE">
        <w:rPr>
          <w:rFonts w:ascii="Arial" w:hAnsi="Arial" w:hint="cs"/>
          <w:noProof w:val="0"/>
          <w:rtl/>
        </w:rPr>
        <w:t xml:space="preserve"> הוגבל ביחס ל</w:t>
      </w:r>
      <w:r w:rsidR="00B32E44" w:rsidRPr="004675BE">
        <w:rPr>
          <w:rFonts w:ascii="Arial" w:hAnsi="Arial" w:hint="cs"/>
          <w:noProof w:val="0"/>
          <w:rtl/>
        </w:rPr>
        <w:t xml:space="preserve">שיעור </w:t>
      </w:r>
      <w:r w:rsidRPr="004675BE">
        <w:rPr>
          <w:rFonts w:ascii="Arial" w:hAnsi="Arial" w:hint="cs"/>
          <w:noProof w:val="0"/>
          <w:rtl/>
        </w:rPr>
        <w:t>שכר טרחת מנהל עזבון, ואין בכוחו לגבור על הוראות המחוקק ומחוקק המשנה בהקשר זה.</w:t>
      </w:r>
    </w:p>
    <w:p w:rsidR="00B32E44" w:rsidRDefault="00B32E44" w:rsidP="004675BE">
      <w:pPr>
        <w:spacing w:line="360" w:lineRule="auto"/>
        <w:ind w:left="141" w:hanging="425"/>
        <w:jc w:val="both"/>
        <w:rPr>
          <w:rFonts w:ascii="Arial" w:hAnsi="Arial"/>
          <w:noProof w:val="0"/>
          <w:rtl/>
        </w:rPr>
      </w:pPr>
    </w:p>
    <w:p w:rsidR="00B32E44" w:rsidRPr="00245A35" w:rsidRDefault="00B32E44" w:rsidP="00245A35">
      <w:pPr>
        <w:pStyle w:val="ad"/>
        <w:spacing w:line="360" w:lineRule="auto"/>
        <w:ind w:left="141"/>
        <w:jc w:val="both"/>
        <w:rPr>
          <w:rFonts w:ascii="Arial" w:hAnsi="Arial"/>
          <w:b/>
          <w:bCs/>
          <w:noProof w:val="0"/>
          <w:u w:val="single"/>
          <w:rtl/>
        </w:rPr>
      </w:pPr>
      <w:r w:rsidRPr="00245A35">
        <w:rPr>
          <w:rFonts w:ascii="Arial" w:hAnsi="Arial" w:hint="cs"/>
          <w:b/>
          <w:bCs/>
          <w:noProof w:val="0"/>
          <w:u w:val="single"/>
          <w:rtl/>
        </w:rPr>
        <w:t>מן הכלל אל הפרט</w:t>
      </w:r>
    </w:p>
    <w:p w:rsidR="00B32E44" w:rsidRDefault="00B32E44" w:rsidP="004675BE">
      <w:pPr>
        <w:spacing w:line="360" w:lineRule="auto"/>
        <w:ind w:left="141" w:hanging="425"/>
        <w:jc w:val="both"/>
        <w:rPr>
          <w:rFonts w:ascii="Arial" w:hAnsi="Arial"/>
          <w:noProof w:val="0"/>
          <w:rtl/>
        </w:rPr>
      </w:pPr>
    </w:p>
    <w:p w:rsidR="00B32E44" w:rsidRPr="004675BE" w:rsidRDefault="00B32E44"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כאמור, המבקש לא העמיד כל טיעון רלוונטי לסוגיה. המבקש לא הצביע על סיבה לאבחן את בקשתו, או את הצוואה, מן הדין שחל בענייננו ולא העמיד נימוקים לרצונו מכללא, כי בית המשפט יחרוג מהפסיקה המנחה בסוגיה. לפיכך דין בקשת המבקש ביחס לשיעור העולה על סכום המרבי לפי התקנות </w:t>
      </w:r>
      <w:r w:rsidRPr="004675BE">
        <w:rPr>
          <w:rFonts w:ascii="Arial" w:hAnsi="Arial"/>
          <w:noProof w:val="0"/>
          <w:rtl/>
        </w:rPr>
        <w:t>–</w:t>
      </w:r>
      <w:r w:rsidRPr="004675BE">
        <w:rPr>
          <w:rFonts w:ascii="Arial" w:hAnsi="Arial" w:hint="cs"/>
          <w:noProof w:val="0"/>
          <w:rtl/>
        </w:rPr>
        <w:t xml:space="preserve"> לה</w:t>
      </w:r>
      <w:r w:rsidR="009F1EF7" w:rsidRPr="004675BE">
        <w:rPr>
          <w:rFonts w:ascii="Arial" w:hAnsi="Arial" w:hint="cs"/>
          <w:noProof w:val="0"/>
          <w:rtl/>
        </w:rPr>
        <w:t>י</w:t>
      </w:r>
      <w:r w:rsidRPr="004675BE">
        <w:rPr>
          <w:rFonts w:ascii="Arial" w:hAnsi="Arial" w:hint="cs"/>
          <w:noProof w:val="0"/>
          <w:rtl/>
        </w:rPr>
        <w:t>דחות.</w:t>
      </w:r>
    </w:p>
    <w:p w:rsidR="009F1EF7" w:rsidRDefault="009F1EF7" w:rsidP="004675BE">
      <w:pPr>
        <w:spacing w:line="360" w:lineRule="auto"/>
        <w:ind w:left="141" w:hanging="425"/>
        <w:jc w:val="both"/>
        <w:rPr>
          <w:rFonts w:ascii="Arial" w:hAnsi="Arial"/>
          <w:noProof w:val="0"/>
          <w:rtl/>
        </w:rPr>
      </w:pPr>
    </w:p>
    <w:p w:rsidR="009F1EF7" w:rsidRPr="004675BE" w:rsidRDefault="009F1EF7"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lastRenderedPageBreak/>
        <w:t>נשאלת השאלה מהו אם כן שיעור שכר הטרחה הראוי בטווח הנקוב בתקנות ועד לשיעור 4%? לאחר שהפכתי בדבר, מצאתי שיש לאשר את שכ"ט הנקוב בצוואה במלואו, ולהעמידו על שיעור 4%. להלן נימוקיי:</w:t>
      </w:r>
    </w:p>
    <w:p w:rsidR="009F1EF7" w:rsidRDefault="009F1EF7" w:rsidP="004675BE">
      <w:pPr>
        <w:spacing w:line="360" w:lineRule="auto"/>
        <w:ind w:left="141" w:hanging="425"/>
        <w:jc w:val="both"/>
        <w:rPr>
          <w:rFonts w:ascii="Arial" w:hAnsi="Arial"/>
          <w:noProof w:val="0"/>
          <w:rtl/>
        </w:rPr>
      </w:pPr>
    </w:p>
    <w:p w:rsidR="009F1EF7" w:rsidRPr="004675BE" w:rsidRDefault="009F1EF7"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לא נעלמה מעיני טענת המשיב לפיה שכ"ט בשיעור 1.5% עבור הגשת בקשה לצו קיום הצוואה הוא מופרז עבור הפעולות הכרוכות בכך. מצאתי כי דינה להידחות. טענה זו לא פותחה על ידי המשיב ונותרה </w:t>
      </w:r>
      <w:r w:rsidR="000F0C59" w:rsidRPr="004675BE">
        <w:rPr>
          <w:rFonts w:ascii="Arial" w:hAnsi="Arial" w:hint="cs"/>
          <w:noProof w:val="0"/>
          <w:rtl/>
        </w:rPr>
        <w:t>כ</w:t>
      </w:r>
      <w:r w:rsidRPr="004675BE">
        <w:rPr>
          <w:rFonts w:ascii="Arial" w:hAnsi="Arial" w:hint="cs"/>
          <w:noProof w:val="0"/>
          <w:rtl/>
        </w:rPr>
        <w:t>טענה כללית</w:t>
      </w:r>
      <w:r w:rsidR="000F0C59" w:rsidRPr="004675BE">
        <w:rPr>
          <w:rFonts w:ascii="Arial" w:hAnsi="Arial" w:hint="cs"/>
          <w:noProof w:val="0"/>
          <w:rtl/>
        </w:rPr>
        <w:t xml:space="preserve">, בשים לב </w:t>
      </w:r>
      <w:r w:rsidR="00DF49AC">
        <w:rPr>
          <w:rFonts w:ascii="Arial" w:hAnsi="Arial" w:hint="cs"/>
          <w:noProof w:val="0"/>
          <w:rtl/>
        </w:rPr>
        <w:t xml:space="preserve">לכך </w:t>
      </w:r>
      <w:r w:rsidR="008C388D">
        <w:rPr>
          <w:rFonts w:ascii="Arial" w:hAnsi="Arial" w:hint="cs"/>
          <w:noProof w:val="0"/>
          <w:rtl/>
        </w:rPr>
        <w:t>שמקור ההוראה</w:t>
      </w:r>
      <w:r w:rsidR="000F0C59" w:rsidRPr="004675BE">
        <w:rPr>
          <w:rFonts w:ascii="Arial" w:hAnsi="Arial" w:hint="cs"/>
          <w:noProof w:val="0"/>
          <w:rtl/>
        </w:rPr>
        <w:t xml:space="preserve"> בצוואה. שוכנעתי עוד, מבלי לקבוע ממצא בדבר, כי שיעור זה מתייחס לפעולות נוספות שביצע המבקש, שלרוב נעשות על ידי בני משפחה או קרובים, בעוד המנוח הלך לעולמו ערירי. כך או כך, גם אם אקבל את טענת המשיב, אין בה להעלות או להוריד.</w:t>
      </w:r>
    </w:p>
    <w:p w:rsidR="000F0C59" w:rsidRDefault="000F0C59" w:rsidP="004675BE">
      <w:pPr>
        <w:spacing w:line="360" w:lineRule="auto"/>
        <w:ind w:left="141" w:hanging="425"/>
        <w:jc w:val="both"/>
        <w:rPr>
          <w:rFonts w:ascii="Arial" w:hAnsi="Arial"/>
          <w:noProof w:val="0"/>
          <w:rtl/>
        </w:rPr>
      </w:pPr>
    </w:p>
    <w:p w:rsidR="000F0C59" w:rsidRPr="004675BE" w:rsidRDefault="000F0C59"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 xml:space="preserve">כפי שעולה מעמדתו של </w:t>
      </w:r>
      <w:r w:rsidRPr="00DF49AC">
        <w:rPr>
          <w:rFonts w:ascii="Arial" w:hAnsi="Arial" w:hint="cs"/>
          <w:noProof w:val="0"/>
          <w:rtl/>
        </w:rPr>
        <w:t>פרופ' שילה,</w:t>
      </w:r>
      <w:r w:rsidRPr="004675BE">
        <w:rPr>
          <w:rFonts w:ascii="Arial" w:hAnsi="Arial" w:hint="cs"/>
          <w:noProof w:val="0"/>
          <w:rtl/>
        </w:rPr>
        <w:t xml:space="preserve"> הטווח המצוי עד תקרת 4%, הוא הפתח הצר בו נתון לבית המשפט שיקול דעת, ובו אפשר להביא לידי ביטוי את רצון המנוח. כדבריו לעיל, </w:t>
      </w:r>
      <w:r w:rsidR="00F47777" w:rsidRPr="004675BE">
        <w:rPr>
          <w:rFonts w:ascii="Arial" w:hAnsi="Arial" w:hint="cs"/>
          <w:noProof w:val="0"/>
          <w:rtl/>
        </w:rPr>
        <w:t>"</w:t>
      </w:r>
      <w:r w:rsidRPr="004675BE">
        <w:rPr>
          <w:rFonts w:ascii="Arial" w:hAnsi="Arial"/>
          <w:b/>
          <w:bCs/>
          <w:noProof w:val="0"/>
          <w:rtl/>
        </w:rPr>
        <w:t>רק אם ההוראה קובעת כי יש לתת למנהל יותר ממה שאובייקטיבית סביר לפסוק לו כשכר, יש להתחשב בהוראת המוריש. אולם, כאמור, התשלום יהיה רק עד התקרה המותרת על פי התקנות</w:t>
      </w:r>
      <w:r w:rsidR="00F47777" w:rsidRPr="004675BE">
        <w:rPr>
          <w:rFonts w:ascii="Arial" w:hAnsi="Arial" w:hint="cs"/>
          <w:noProof w:val="0"/>
          <w:rtl/>
        </w:rPr>
        <w:t>".</w:t>
      </w:r>
    </w:p>
    <w:p w:rsidR="00F47777" w:rsidRDefault="00F47777" w:rsidP="004675BE">
      <w:pPr>
        <w:spacing w:line="360" w:lineRule="auto"/>
        <w:ind w:left="141" w:hanging="425"/>
        <w:jc w:val="both"/>
        <w:rPr>
          <w:rFonts w:ascii="Arial" w:hAnsi="Arial"/>
          <w:noProof w:val="0"/>
          <w:rtl/>
        </w:rPr>
      </w:pPr>
    </w:p>
    <w:p w:rsidR="00F47777" w:rsidRPr="004675BE" w:rsidRDefault="00F47777" w:rsidP="00C21E9B">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t>במילים אחרות, גם אם אשתכנע שהשיעור הנקוב בצוואה הוא מופרז</w:t>
      </w:r>
      <w:r w:rsidR="00C21E9B">
        <w:rPr>
          <w:rFonts w:ascii="Arial" w:hAnsi="Arial" w:hint="cs"/>
          <w:noProof w:val="0"/>
          <w:rtl/>
        </w:rPr>
        <w:t xml:space="preserve"> כולו או חלקו</w:t>
      </w:r>
      <w:r w:rsidRPr="004675BE">
        <w:rPr>
          <w:rFonts w:ascii="Arial" w:hAnsi="Arial" w:hint="cs"/>
          <w:noProof w:val="0"/>
          <w:rtl/>
        </w:rPr>
        <w:t xml:space="preserve"> ביחס לפעולות שביצע המבקש, יש לכבד את רצונו של המוריש, עד לשיעור 4% כאמור. גישה זו אומצה גם על ידי בית המשפט המחוזי בפרשת </w:t>
      </w:r>
      <w:r w:rsidRPr="00DF49AC">
        <w:rPr>
          <w:rFonts w:ascii="Arial" w:hAnsi="Arial" w:hint="cs"/>
          <w:noProof w:val="0"/>
          <w:rtl/>
        </w:rPr>
        <w:t>המנוחה ח':</w:t>
      </w:r>
    </w:p>
    <w:p w:rsidR="00F47777" w:rsidRDefault="00F47777" w:rsidP="004675BE">
      <w:pPr>
        <w:spacing w:line="360" w:lineRule="auto"/>
        <w:ind w:left="141" w:hanging="425"/>
        <w:jc w:val="both"/>
        <w:rPr>
          <w:rFonts w:ascii="Arial" w:hAnsi="Arial"/>
          <w:noProof w:val="0"/>
          <w:rtl/>
        </w:rPr>
      </w:pPr>
    </w:p>
    <w:p w:rsidR="00F47777" w:rsidRPr="004675BE" w:rsidRDefault="00F47777" w:rsidP="00C21E9B">
      <w:pPr>
        <w:pStyle w:val="ad"/>
        <w:spacing w:line="360" w:lineRule="auto"/>
        <w:ind w:left="567" w:right="426"/>
        <w:jc w:val="both"/>
        <w:rPr>
          <w:rFonts w:ascii="Arial" w:hAnsi="Arial"/>
          <w:noProof w:val="0"/>
          <w:rtl/>
        </w:rPr>
      </w:pPr>
      <w:r w:rsidRPr="004675BE">
        <w:rPr>
          <w:rFonts w:ascii="Arial" w:hAnsi="Arial" w:hint="cs"/>
          <w:noProof w:val="0"/>
          <w:rtl/>
        </w:rPr>
        <w:t>"</w:t>
      </w:r>
      <w:r w:rsidRPr="004675BE">
        <w:rPr>
          <w:rFonts w:ascii="Arial" w:hAnsi="Arial"/>
          <w:b/>
          <w:bCs/>
          <w:noProof w:val="0"/>
          <w:rtl/>
        </w:rPr>
        <w:t>יחד עם זאת, בתוך גבולותיו של שיקול-הדעת השיפוטי שעיצב התיקון תגבר הוראת המצווה (עד כדי התקרה המותרת) על-פני הקריטריונים האובייקטיביים לפסיקת שכר מנהל עיזבון (כפי שנקבעו בעבר בפרשת אלואשוילי ומוסדרים כיום בתקנה 45ב(א) סיפה לתקנות), המתחשבים בשווי העיזבון, בטיב פעולותיו של המנהל ובהיקפן</w:t>
      </w:r>
      <w:r w:rsidRPr="004675BE">
        <w:rPr>
          <w:rFonts w:ascii="Arial" w:hAnsi="Arial" w:hint="cs"/>
          <w:noProof w:val="0"/>
          <w:rtl/>
        </w:rPr>
        <w:t>" (ס' 42-41)</w:t>
      </w:r>
      <w:r w:rsidRPr="004675BE">
        <w:rPr>
          <w:rFonts w:ascii="Arial" w:hAnsi="Arial"/>
          <w:noProof w:val="0"/>
          <w:rtl/>
        </w:rPr>
        <w:t>.</w:t>
      </w:r>
    </w:p>
    <w:p w:rsidR="00F47777" w:rsidRDefault="00F47777" w:rsidP="004675BE">
      <w:pPr>
        <w:spacing w:line="360" w:lineRule="auto"/>
        <w:ind w:left="141" w:hanging="425"/>
        <w:jc w:val="both"/>
        <w:rPr>
          <w:rFonts w:ascii="Arial" w:hAnsi="Arial"/>
          <w:noProof w:val="0"/>
          <w:rtl/>
        </w:rPr>
      </w:pPr>
    </w:p>
    <w:p w:rsidR="00EB2F30" w:rsidRDefault="00C21E9B" w:rsidP="006219DB">
      <w:pPr>
        <w:pStyle w:val="ad"/>
        <w:numPr>
          <w:ilvl w:val="0"/>
          <w:numId w:val="1"/>
        </w:numPr>
        <w:spacing w:line="360" w:lineRule="auto"/>
        <w:ind w:left="141" w:hanging="425"/>
        <w:jc w:val="both"/>
        <w:rPr>
          <w:rFonts w:ascii="Arial" w:hAnsi="Arial"/>
          <w:noProof w:val="0"/>
        </w:rPr>
      </w:pPr>
      <w:r w:rsidRPr="00EB2F30">
        <w:rPr>
          <w:rFonts w:ascii="Arial" w:hAnsi="Arial" w:hint="cs"/>
          <w:noProof w:val="0"/>
          <w:rtl/>
        </w:rPr>
        <w:t xml:space="preserve">בנסיבות העניין, לאור רצון המנוח </w:t>
      </w:r>
      <w:r w:rsidR="00DF49AC" w:rsidRPr="00EB2F30">
        <w:rPr>
          <w:rFonts w:ascii="Arial" w:hAnsi="Arial" w:hint="cs"/>
          <w:noProof w:val="0"/>
          <w:rtl/>
        </w:rPr>
        <w:t xml:space="preserve">כפי שמשתקף מצוואתו </w:t>
      </w:r>
      <w:r w:rsidRPr="00EB2F30">
        <w:rPr>
          <w:rFonts w:ascii="Arial" w:hAnsi="Arial" w:hint="cs"/>
          <w:noProof w:val="0"/>
          <w:rtl/>
        </w:rPr>
        <w:t xml:space="preserve">וכיבוד רצונו, </w:t>
      </w:r>
      <w:r w:rsidR="006219DB" w:rsidRPr="00EB2F30">
        <w:rPr>
          <w:rFonts w:ascii="Arial" w:hAnsi="Arial" w:hint="cs"/>
          <w:noProof w:val="0"/>
          <w:rtl/>
        </w:rPr>
        <w:t>לא מצאתי צידוק לחרוג מהשיעור עליו ציווה, עד לתקרת 4% כאמור</w:t>
      </w:r>
      <w:r w:rsidRPr="00EB2F30">
        <w:rPr>
          <w:rFonts w:ascii="Arial" w:hAnsi="Arial" w:hint="cs"/>
          <w:noProof w:val="0"/>
          <w:rtl/>
        </w:rPr>
        <w:t xml:space="preserve">. </w:t>
      </w:r>
    </w:p>
    <w:p w:rsidR="00EB2F30" w:rsidRDefault="00EB2F30" w:rsidP="00EB2F30">
      <w:pPr>
        <w:pStyle w:val="ad"/>
        <w:spacing w:line="360" w:lineRule="auto"/>
        <w:ind w:left="141"/>
        <w:jc w:val="both"/>
        <w:rPr>
          <w:rFonts w:ascii="Arial" w:hAnsi="Arial"/>
          <w:noProof w:val="0"/>
        </w:rPr>
      </w:pPr>
    </w:p>
    <w:p w:rsidR="00F47777" w:rsidRPr="00EB2F30" w:rsidRDefault="00C21E9B" w:rsidP="006219DB">
      <w:pPr>
        <w:pStyle w:val="ad"/>
        <w:numPr>
          <w:ilvl w:val="0"/>
          <w:numId w:val="1"/>
        </w:numPr>
        <w:spacing w:line="360" w:lineRule="auto"/>
        <w:ind w:left="141" w:hanging="425"/>
        <w:jc w:val="both"/>
        <w:rPr>
          <w:rFonts w:ascii="Arial" w:hAnsi="Arial"/>
          <w:noProof w:val="0"/>
          <w:rtl/>
        </w:rPr>
      </w:pPr>
      <w:r w:rsidRPr="00EB2F30">
        <w:rPr>
          <w:rFonts w:ascii="Arial" w:hAnsi="Arial" w:hint="cs"/>
          <w:noProof w:val="0"/>
          <w:rtl/>
        </w:rPr>
        <w:t xml:space="preserve">למעלה מן הצורך, </w:t>
      </w:r>
      <w:r w:rsidR="00F47777" w:rsidRPr="00EB2F30">
        <w:rPr>
          <w:rFonts w:ascii="Arial" w:hAnsi="Arial" w:hint="cs"/>
          <w:noProof w:val="0"/>
          <w:rtl/>
        </w:rPr>
        <w:t xml:space="preserve">לא נעלמה עוד מעיני טענת המבקש לפיה בקשתו מתייחסת </w:t>
      </w:r>
      <w:r w:rsidRPr="00EB2F30">
        <w:rPr>
          <w:rFonts w:ascii="Arial" w:hAnsi="Arial" w:hint="cs"/>
          <w:noProof w:val="0"/>
          <w:rtl/>
        </w:rPr>
        <w:t xml:space="preserve">רק </w:t>
      </w:r>
      <w:r w:rsidR="00F47777" w:rsidRPr="00EB2F30">
        <w:rPr>
          <w:rFonts w:ascii="Arial" w:hAnsi="Arial" w:hint="cs"/>
          <w:noProof w:val="0"/>
          <w:rtl/>
        </w:rPr>
        <w:t xml:space="preserve">לרכיב שכ"ט בשיעור 3%, אך לא </w:t>
      </w:r>
      <w:r w:rsidR="00117FDA" w:rsidRPr="00EB2F30">
        <w:rPr>
          <w:rFonts w:ascii="Arial" w:hAnsi="Arial" w:hint="cs"/>
          <w:noProof w:val="0"/>
          <w:rtl/>
        </w:rPr>
        <w:t>אוכל לקבלה.</w:t>
      </w:r>
      <w:r w:rsidR="00401C78">
        <w:rPr>
          <w:rFonts w:ascii="Arial" w:hAnsi="Arial" w:hint="cs"/>
          <w:noProof w:val="0"/>
          <w:rtl/>
        </w:rPr>
        <w:t xml:space="preserve"> טענה זו לא פותחה. לא הונח</w:t>
      </w:r>
      <w:r w:rsidR="00117FDA" w:rsidRPr="00EB2F30">
        <w:rPr>
          <w:rFonts w:ascii="Arial" w:hAnsi="Arial" w:hint="cs"/>
          <w:noProof w:val="0"/>
          <w:rtl/>
        </w:rPr>
        <w:t xml:space="preserve"> לטענה בסיס בבקשת המבקש, בצוואה, בנסיבות או בדין. כמו כן, טענה זו נולדה רק לאחר </w:t>
      </w:r>
      <w:r w:rsidR="008C388D">
        <w:rPr>
          <w:rFonts w:ascii="Arial" w:hAnsi="Arial" w:hint="cs"/>
          <w:noProof w:val="0"/>
          <w:rtl/>
        </w:rPr>
        <w:t xml:space="preserve">הגשת </w:t>
      </w:r>
      <w:r w:rsidR="00117FDA" w:rsidRPr="00EB2F30">
        <w:rPr>
          <w:rFonts w:ascii="Arial" w:hAnsi="Arial" w:hint="cs"/>
          <w:noProof w:val="0"/>
          <w:rtl/>
        </w:rPr>
        <w:t>תגובת המשיב. מטעמים אלה מצאתי טענה זו בלתי מבוססת, ונוכח התוצאה אליה הגעתי ושיעור שכ"ט לו זוכה המבקש, לא מצאתי צורך להכריע בה.</w:t>
      </w:r>
    </w:p>
    <w:p w:rsidR="00117FDA" w:rsidRDefault="00117FDA" w:rsidP="004675BE">
      <w:pPr>
        <w:spacing w:line="360" w:lineRule="auto"/>
        <w:ind w:left="141" w:hanging="425"/>
        <w:jc w:val="both"/>
        <w:rPr>
          <w:rFonts w:ascii="Arial" w:hAnsi="Arial"/>
          <w:noProof w:val="0"/>
          <w:rtl/>
        </w:rPr>
      </w:pPr>
    </w:p>
    <w:p w:rsidR="00117FDA" w:rsidRPr="004675BE" w:rsidRDefault="00117FDA" w:rsidP="004675BE">
      <w:pPr>
        <w:pStyle w:val="ad"/>
        <w:numPr>
          <w:ilvl w:val="0"/>
          <w:numId w:val="1"/>
        </w:numPr>
        <w:spacing w:line="360" w:lineRule="auto"/>
        <w:ind w:left="141" w:hanging="425"/>
        <w:jc w:val="both"/>
        <w:rPr>
          <w:rFonts w:ascii="Arial" w:hAnsi="Arial"/>
          <w:noProof w:val="0"/>
          <w:rtl/>
        </w:rPr>
      </w:pPr>
      <w:r w:rsidRPr="004675BE">
        <w:rPr>
          <w:rFonts w:ascii="Arial" w:hAnsi="Arial" w:hint="cs"/>
          <w:noProof w:val="0"/>
          <w:rtl/>
        </w:rPr>
        <w:lastRenderedPageBreak/>
        <w:t>בנוגע להסכמת היורשים לשכר הטרחה המבוקש, זו עולה במפורש מן הסימוכין שצירף המבקש לבקשתו</w:t>
      </w:r>
      <w:r w:rsidR="006219DB">
        <w:rPr>
          <w:rFonts w:ascii="Arial" w:hAnsi="Arial" w:hint="cs"/>
          <w:noProof w:val="0"/>
          <w:rtl/>
        </w:rPr>
        <w:t xml:space="preserve"> ולא מצאתי ממש בטענות המשיב</w:t>
      </w:r>
      <w:r w:rsidRPr="004675BE">
        <w:rPr>
          <w:rFonts w:ascii="Arial" w:hAnsi="Arial" w:hint="cs"/>
          <w:noProof w:val="0"/>
          <w:rtl/>
        </w:rPr>
        <w:t>. אציין כי הסכמת היורשים ניתנה לשיעור הנקוב בצוואה וגבוה יותר מן הפסוק בפסק דין זה.</w:t>
      </w:r>
    </w:p>
    <w:p w:rsidR="00117FDA" w:rsidRDefault="00117FDA" w:rsidP="004675BE">
      <w:pPr>
        <w:spacing w:line="360" w:lineRule="auto"/>
        <w:ind w:left="141" w:hanging="425"/>
        <w:jc w:val="both"/>
        <w:rPr>
          <w:rFonts w:ascii="Arial" w:hAnsi="Arial"/>
          <w:noProof w:val="0"/>
          <w:rtl/>
        </w:rPr>
      </w:pPr>
    </w:p>
    <w:p w:rsidR="00FD66CF" w:rsidRPr="00FD66CF" w:rsidRDefault="00FD66CF" w:rsidP="00F329EB">
      <w:pPr>
        <w:pStyle w:val="ad"/>
        <w:numPr>
          <w:ilvl w:val="0"/>
          <w:numId w:val="1"/>
        </w:numPr>
        <w:spacing w:line="360" w:lineRule="auto"/>
        <w:ind w:left="141" w:hanging="425"/>
        <w:jc w:val="both"/>
        <w:rPr>
          <w:rFonts w:ascii="Arial" w:hAnsi="Arial"/>
          <w:noProof w:val="0"/>
        </w:rPr>
      </w:pPr>
      <w:r w:rsidRPr="00FD66CF">
        <w:rPr>
          <w:rFonts w:ascii="Arial" w:hAnsi="Arial" w:hint="cs"/>
          <w:b/>
          <w:bCs/>
          <w:noProof w:val="0"/>
          <w:u w:val="single"/>
          <w:rtl/>
        </w:rPr>
        <w:t>התנהלות המשיב</w:t>
      </w:r>
      <w:r w:rsidRPr="00FD66CF">
        <w:rPr>
          <w:rFonts w:ascii="Arial" w:hAnsi="Arial" w:hint="cs"/>
          <w:noProof w:val="0"/>
          <w:rtl/>
        </w:rPr>
        <w:t xml:space="preserve"> </w:t>
      </w:r>
      <w:r>
        <w:rPr>
          <w:rFonts w:ascii="Arial" w:hAnsi="Arial"/>
          <w:noProof w:val="0"/>
          <w:rtl/>
        </w:rPr>
        <w:t>–</w:t>
      </w:r>
      <w:r w:rsidRPr="00FD66CF">
        <w:rPr>
          <w:rFonts w:ascii="Arial" w:hAnsi="Arial" w:hint="cs"/>
          <w:noProof w:val="0"/>
          <w:rtl/>
        </w:rPr>
        <w:t xml:space="preserve"> </w:t>
      </w:r>
      <w:r w:rsidR="00606286">
        <w:rPr>
          <w:rFonts w:ascii="Arial" w:hAnsi="Arial" w:hint="cs"/>
          <w:noProof w:val="0"/>
          <w:rtl/>
        </w:rPr>
        <w:t xml:space="preserve">בסיפת פסק הדין </w:t>
      </w:r>
      <w:r>
        <w:rPr>
          <w:rFonts w:ascii="Arial" w:hAnsi="Arial" w:hint="cs"/>
          <w:noProof w:val="0"/>
          <w:rtl/>
        </w:rPr>
        <w:t>לא ניתן שלא להתייחס ל</w:t>
      </w:r>
      <w:r w:rsidR="000B6ECE" w:rsidRPr="00FD66CF">
        <w:rPr>
          <w:rFonts w:ascii="Arial" w:hAnsi="Arial" w:hint="cs"/>
          <w:noProof w:val="0"/>
          <w:rtl/>
        </w:rPr>
        <w:t>התנהלות המשיב</w:t>
      </w:r>
      <w:r>
        <w:rPr>
          <w:rFonts w:ascii="Arial" w:hAnsi="Arial" w:hint="cs"/>
          <w:noProof w:val="0"/>
          <w:rtl/>
        </w:rPr>
        <w:t xml:space="preserve"> בהליך זה, אשר כנטען אכן</w:t>
      </w:r>
      <w:r w:rsidR="000B6ECE" w:rsidRPr="00FD66CF">
        <w:rPr>
          <w:rFonts w:ascii="Arial" w:hAnsi="Arial" w:hint="cs"/>
          <w:noProof w:val="0"/>
          <w:rtl/>
        </w:rPr>
        <w:t xml:space="preserve"> לקתה בפגמים. </w:t>
      </w:r>
      <w:r w:rsidR="00117FDA" w:rsidRPr="00FD66CF">
        <w:rPr>
          <w:rFonts w:ascii="Arial" w:hAnsi="Arial" w:hint="cs"/>
          <w:noProof w:val="0"/>
          <w:rtl/>
        </w:rPr>
        <w:t xml:space="preserve">המשיב </w:t>
      </w:r>
      <w:r w:rsidR="00FD794F" w:rsidRPr="00FD66CF">
        <w:rPr>
          <w:rFonts w:ascii="Arial" w:hAnsi="Arial" w:hint="cs"/>
          <w:noProof w:val="0"/>
          <w:rtl/>
        </w:rPr>
        <w:t xml:space="preserve">נמנע עד היום ובמשך </w:t>
      </w:r>
      <w:r>
        <w:rPr>
          <w:rFonts w:ascii="Arial" w:hAnsi="Arial" w:hint="cs"/>
          <w:noProof w:val="0"/>
          <w:rtl/>
        </w:rPr>
        <w:t>תקופה ממושכת</w:t>
      </w:r>
      <w:r w:rsidR="00FD794F" w:rsidRPr="00FD66CF">
        <w:rPr>
          <w:rFonts w:ascii="Arial" w:hAnsi="Arial" w:hint="cs"/>
          <w:noProof w:val="0"/>
          <w:rtl/>
        </w:rPr>
        <w:t xml:space="preserve"> למלא אחר החלטתי מיום 17.1.24 ולהגיש תגובה משלימה</w:t>
      </w:r>
      <w:r w:rsidR="006219DB" w:rsidRPr="00FD66CF">
        <w:rPr>
          <w:rFonts w:ascii="Arial" w:hAnsi="Arial" w:hint="cs"/>
          <w:noProof w:val="0"/>
          <w:rtl/>
        </w:rPr>
        <w:t xml:space="preserve"> לעמדת המבקש</w:t>
      </w:r>
      <w:r>
        <w:rPr>
          <w:rFonts w:ascii="Arial" w:hAnsi="Arial" w:hint="cs"/>
          <w:noProof w:val="0"/>
          <w:rtl/>
        </w:rPr>
        <w:t>. המבקש נאלץ להגיש מספר</w:t>
      </w:r>
      <w:r w:rsidR="00FD794F" w:rsidRPr="00FD66CF">
        <w:rPr>
          <w:rFonts w:ascii="Arial" w:hAnsi="Arial" w:hint="cs"/>
          <w:noProof w:val="0"/>
          <w:rtl/>
        </w:rPr>
        <w:t xml:space="preserve"> בקשות למתן פסק דין</w:t>
      </w:r>
      <w:r w:rsidR="006219DB" w:rsidRPr="00FD66CF">
        <w:rPr>
          <w:rFonts w:ascii="Arial" w:hAnsi="Arial" w:hint="cs"/>
          <w:noProof w:val="0"/>
          <w:rtl/>
        </w:rPr>
        <w:t xml:space="preserve"> בהעדר</w:t>
      </w:r>
      <w:r w:rsidR="00FD794F" w:rsidRPr="00FD66CF">
        <w:rPr>
          <w:rFonts w:ascii="Arial" w:hAnsi="Arial" w:hint="cs"/>
          <w:noProof w:val="0"/>
          <w:rtl/>
        </w:rPr>
        <w:t>, ובית המשפט העניק למשיב שתי אורכות</w:t>
      </w:r>
      <w:r>
        <w:rPr>
          <w:rFonts w:ascii="Arial" w:hAnsi="Arial" w:hint="cs"/>
          <w:noProof w:val="0"/>
          <w:rtl/>
        </w:rPr>
        <w:t xml:space="preserve"> ביוזמתו, </w:t>
      </w:r>
      <w:r w:rsidR="00DA60BA">
        <w:rPr>
          <w:rFonts w:ascii="Arial" w:hAnsi="Arial" w:hint="cs"/>
          <w:noProof w:val="0"/>
          <w:rtl/>
        </w:rPr>
        <w:t xml:space="preserve">שכן </w:t>
      </w:r>
      <w:r w:rsidR="00FD794F" w:rsidRPr="00FD66CF">
        <w:rPr>
          <w:rFonts w:ascii="Arial" w:hAnsi="Arial" w:hint="cs"/>
          <w:noProof w:val="0"/>
          <w:rtl/>
        </w:rPr>
        <w:t>המשיב</w:t>
      </w:r>
      <w:r w:rsidR="00DA60BA">
        <w:rPr>
          <w:rFonts w:ascii="Arial" w:hAnsi="Arial" w:hint="cs"/>
          <w:noProof w:val="0"/>
          <w:rtl/>
        </w:rPr>
        <w:t xml:space="preserve"> עצמו</w:t>
      </w:r>
      <w:r w:rsidR="00FD794F" w:rsidRPr="00FD66CF">
        <w:rPr>
          <w:rFonts w:ascii="Arial" w:hAnsi="Arial" w:hint="cs"/>
          <w:noProof w:val="0"/>
          <w:rtl/>
        </w:rPr>
        <w:t xml:space="preserve"> לא הגיש תחת תגובתו כל בקשה למתן ארכה. </w:t>
      </w:r>
      <w:r w:rsidR="006219DB" w:rsidRPr="00FD66CF">
        <w:rPr>
          <w:rFonts w:ascii="Arial" w:hAnsi="Arial" w:hint="cs"/>
          <w:noProof w:val="0"/>
          <w:rtl/>
        </w:rPr>
        <w:t xml:space="preserve">למותר לציין עוד שב"כ המשיב מחובר לרשת ה"נט" והחלטות בית המשפט מצויות לנגד עיניו. </w:t>
      </w:r>
      <w:r w:rsidR="009C7846" w:rsidRPr="00FD66CF">
        <w:rPr>
          <w:rFonts w:ascii="Arial" w:hAnsi="Arial" w:hint="cs"/>
          <w:noProof w:val="0"/>
          <w:rtl/>
        </w:rPr>
        <w:t>הדברים מתו</w:t>
      </w:r>
      <w:r w:rsidR="00F2204D" w:rsidRPr="00FD66CF">
        <w:rPr>
          <w:rFonts w:ascii="Arial" w:hAnsi="Arial" w:hint="cs"/>
          <w:noProof w:val="0"/>
          <w:rtl/>
        </w:rPr>
        <w:t>וספים לדלו</w:t>
      </w:r>
      <w:r w:rsidR="0027356B" w:rsidRPr="00FD66CF">
        <w:rPr>
          <w:rFonts w:ascii="David" w:hAnsi="David"/>
          <w:noProof w:val="0"/>
          <w:rtl/>
        </w:rPr>
        <w:t>ּ</w:t>
      </w:r>
      <w:r w:rsidR="00F2204D" w:rsidRPr="00FD66CF">
        <w:rPr>
          <w:rFonts w:ascii="Arial" w:hAnsi="Arial" w:hint="cs"/>
          <w:noProof w:val="0"/>
          <w:rtl/>
        </w:rPr>
        <w:t xml:space="preserve">ת הטענות שהעמיד המשיב, ולא אשוב על הדברים. </w:t>
      </w:r>
      <w:r w:rsidRPr="00FD66CF">
        <w:rPr>
          <w:rFonts w:ascii="Arial" w:hAnsi="Arial" w:hint="cs"/>
          <w:noProof w:val="0"/>
          <w:rtl/>
        </w:rPr>
        <w:t>בנסיבות אלו היה מקום לשקול השתת הוצאות על כתפי המשיב. עם זאת ומשעה שהתקבלה טענת המשיב ונדחתה טענת המבקש</w:t>
      </w:r>
      <w:r w:rsidR="00DA60BA">
        <w:rPr>
          <w:rFonts w:ascii="Arial" w:hAnsi="Arial" w:hint="cs"/>
          <w:noProof w:val="0"/>
          <w:rtl/>
        </w:rPr>
        <w:t xml:space="preserve"> לעני</w:t>
      </w:r>
      <w:r w:rsidR="00606286">
        <w:rPr>
          <w:rFonts w:ascii="Arial" w:hAnsi="Arial" w:hint="cs"/>
          <w:noProof w:val="0"/>
          <w:rtl/>
        </w:rPr>
        <w:t>י</w:t>
      </w:r>
      <w:r w:rsidR="00DA60BA">
        <w:rPr>
          <w:rFonts w:ascii="Arial" w:hAnsi="Arial" w:hint="cs"/>
          <w:noProof w:val="0"/>
          <w:rtl/>
        </w:rPr>
        <w:t>ן גובה שכ"ט</w:t>
      </w:r>
      <w:r w:rsidRPr="00FD66CF">
        <w:rPr>
          <w:rFonts w:ascii="Arial" w:hAnsi="Arial" w:hint="cs"/>
          <w:noProof w:val="0"/>
          <w:rtl/>
        </w:rPr>
        <w:t xml:space="preserve">, </w:t>
      </w:r>
      <w:r w:rsidR="00F329EB">
        <w:rPr>
          <w:rFonts w:ascii="Arial" w:hAnsi="Arial" w:hint="cs"/>
          <w:noProof w:val="0"/>
          <w:rtl/>
        </w:rPr>
        <w:t xml:space="preserve">ובשים לב לשיעור הגבוה של שכ"ט לו זוכה המבקש, ובהינתן שפסיקת הוצאות תושת בסופו של יום על כספי משלם המיסים, </w:t>
      </w:r>
      <w:r w:rsidRPr="00FD66CF">
        <w:rPr>
          <w:rFonts w:ascii="Arial" w:hAnsi="Arial" w:hint="cs"/>
          <w:noProof w:val="0"/>
          <w:rtl/>
        </w:rPr>
        <w:t>מצאתי להסתפק במקרה זה בציון האמור לעיל, תוך ציפייה כי התנהלות מסוג זו מטעם המשיב</w:t>
      </w:r>
      <w:r w:rsidR="00DA60BA">
        <w:rPr>
          <w:rFonts w:ascii="Arial" w:hAnsi="Arial" w:hint="cs"/>
          <w:noProof w:val="0"/>
          <w:rtl/>
        </w:rPr>
        <w:t>, קל וחומר בהיותו נציג המדינה,</w:t>
      </w:r>
      <w:r w:rsidRPr="00FD66CF">
        <w:rPr>
          <w:rFonts w:ascii="Arial" w:hAnsi="Arial" w:hint="cs"/>
          <w:noProof w:val="0"/>
          <w:rtl/>
        </w:rPr>
        <w:t xml:space="preserve"> לא ת</w:t>
      </w:r>
      <w:r>
        <w:rPr>
          <w:rFonts w:ascii="Arial" w:hAnsi="Arial" w:hint="cs"/>
          <w:noProof w:val="0"/>
          <w:rtl/>
        </w:rPr>
        <w:t>י</w:t>
      </w:r>
      <w:r w:rsidRPr="00FD66CF">
        <w:rPr>
          <w:rFonts w:ascii="Arial" w:hAnsi="Arial" w:hint="cs"/>
          <w:noProof w:val="0"/>
          <w:rtl/>
        </w:rPr>
        <w:t xml:space="preserve">שנה. </w:t>
      </w:r>
    </w:p>
    <w:p w:rsidR="00FD66CF" w:rsidRDefault="00FD66CF" w:rsidP="00FD66CF">
      <w:pPr>
        <w:pStyle w:val="ad"/>
        <w:spacing w:line="360" w:lineRule="auto"/>
        <w:ind w:left="141"/>
        <w:jc w:val="both"/>
        <w:rPr>
          <w:rFonts w:ascii="Arial" w:hAnsi="Arial"/>
          <w:noProof w:val="0"/>
          <w:rtl/>
        </w:rPr>
      </w:pPr>
    </w:p>
    <w:p w:rsidR="00F2204D" w:rsidRPr="0027356B" w:rsidRDefault="00F2204D" w:rsidP="0027356B">
      <w:pPr>
        <w:pStyle w:val="ad"/>
        <w:spacing w:line="360" w:lineRule="auto"/>
        <w:ind w:left="0"/>
        <w:jc w:val="both"/>
        <w:rPr>
          <w:rFonts w:ascii="Arial" w:hAnsi="Arial"/>
          <w:b/>
          <w:bCs/>
          <w:noProof w:val="0"/>
          <w:sz w:val="26"/>
          <w:szCs w:val="26"/>
          <w:u w:val="single"/>
          <w:rtl/>
        </w:rPr>
      </w:pPr>
      <w:r w:rsidRPr="0027356B">
        <w:rPr>
          <w:rFonts w:ascii="Arial" w:hAnsi="Arial" w:hint="cs"/>
          <w:b/>
          <w:bCs/>
          <w:noProof w:val="0"/>
          <w:sz w:val="26"/>
          <w:szCs w:val="26"/>
          <w:u w:val="single"/>
          <w:rtl/>
        </w:rPr>
        <w:t>סוף דבר</w:t>
      </w:r>
    </w:p>
    <w:p w:rsidR="00F2204D" w:rsidRDefault="00F2204D" w:rsidP="004675BE">
      <w:pPr>
        <w:spacing w:line="360" w:lineRule="auto"/>
        <w:ind w:left="141" w:hanging="425"/>
        <w:jc w:val="both"/>
        <w:rPr>
          <w:rFonts w:ascii="Arial" w:hAnsi="Arial"/>
          <w:noProof w:val="0"/>
          <w:rtl/>
        </w:rPr>
      </w:pPr>
    </w:p>
    <w:p w:rsidR="0027356B" w:rsidRDefault="0027356B" w:rsidP="004675BE">
      <w:pPr>
        <w:pStyle w:val="ad"/>
        <w:numPr>
          <w:ilvl w:val="0"/>
          <w:numId w:val="1"/>
        </w:numPr>
        <w:spacing w:line="360" w:lineRule="auto"/>
        <w:ind w:left="141" w:hanging="425"/>
        <w:jc w:val="both"/>
        <w:rPr>
          <w:rFonts w:ascii="Arial" w:hAnsi="Arial"/>
          <w:noProof w:val="0"/>
        </w:rPr>
      </w:pPr>
      <w:r>
        <w:rPr>
          <w:rFonts w:ascii="Arial" w:hAnsi="Arial" w:hint="cs"/>
          <w:noProof w:val="0"/>
          <w:rtl/>
        </w:rPr>
        <w:t>על בסיס כל הנקוב לעיל, אני קובעת כדלקמן:</w:t>
      </w:r>
    </w:p>
    <w:p w:rsidR="0027356B" w:rsidRDefault="0027356B" w:rsidP="0027356B">
      <w:pPr>
        <w:pStyle w:val="ad"/>
        <w:spacing w:line="360" w:lineRule="auto"/>
        <w:ind w:left="141"/>
        <w:jc w:val="both"/>
        <w:rPr>
          <w:rFonts w:ascii="Arial" w:hAnsi="Arial"/>
          <w:noProof w:val="0"/>
        </w:rPr>
      </w:pPr>
    </w:p>
    <w:p w:rsidR="00F2204D" w:rsidRPr="004675BE" w:rsidRDefault="00F2204D" w:rsidP="0027356B">
      <w:pPr>
        <w:pStyle w:val="ad"/>
        <w:numPr>
          <w:ilvl w:val="0"/>
          <w:numId w:val="3"/>
        </w:numPr>
        <w:spacing w:line="360" w:lineRule="auto"/>
        <w:jc w:val="both"/>
        <w:rPr>
          <w:rFonts w:ascii="Arial" w:hAnsi="Arial"/>
          <w:noProof w:val="0"/>
          <w:rtl/>
        </w:rPr>
      </w:pPr>
      <w:r w:rsidRPr="004675BE">
        <w:rPr>
          <w:rFonts w:ascii="Arial" w:hAnsi="Arial" w:hint="cs"/>
          <w:noProof w:val="0"/>
          <w:rtl/>
        </w:rPr>
        <w:t>אני מאשרת את דו"ח ניהול העזבון מטעם המבקש.</w:t>
      </w:r>
    </w:p>
    <w:p w:rsidR="00F2204D" w:rsidRDefault="00F2204D" w:rsidP="004675BE">
      <w:pPr>
        <w:spacing w:line="360" w:lineRule="auto"/>
        <w:ind w:left="141" w:hanging="425"/>
        <w:jc w:val="both"/>
        <w:rPr>
          <w:rFonts w:ascii="Arial" w:hAnsi="Arial"/>
          <w:noProof w:val="0"/>
          <w:rtl/>
        </w:rPr>
      </w:pPr>
    </w:p>
    <w:p w:rsidR="00F2204D" w:rsidRPr="004675BE" w:rsidRDefault="004675BE" w:rsidP="0027356B">
      <w:pPr>
        <w:pStyle w:val="ad"/>
        <w:numPr>
          <w:ilvl w:val="0"/>
          <w:numId w:val="3"/>
        </w:numPr>
        <w:spacing w:line="360" w:lineRule="auto"/>
        <w:jc w:val="both"/>
        <w:rPr>
          <w:rFonts w:ascii="Arial" w:hAnsi="Arial"/>
          <w:noProof w:val="0"/>
          <w:rtl/>
        </w:rPr>
      </w:pPr>
      <w:r w:rsidRPr="004675BE">
        <w:rPr>
          <w:rFonts w:ascii="Arial" w:hAnsi="Arial" w:hint="cs"/>
          <w:noProof w:val="0"/>
          <w:rtl/>
        </w:rPr>
        <w:t>שכר טרחת המבקש יעמוד על 4%</w:t>
      </w:r>
      <w:r w:rsidR="0027356B">
        <w:rPr>
          <w:rFonts w:ascii="Arial" w:hAnsi="Arial" w:hint="cs"/>
          <w:noProof w:val="0"/>
          <w:rtl/>
        </w:rPr>
        <w:t xml:space="preserve"> משווי העזבון ה</w:t>
      </w:r>
      <w:r w:rsidRPr="004675BE">
        <w:rPr>
          <w:rFonts w:ascii="Arial" w:hAnsi="Arial" w:hint="cs"/>
          <w:noProof w:val="0"/>
          <w:rtl/>
        </w:rPr>
        <w:t>נקוב בבקשה בצירוף מע"מ.</w:t>
      </w:r>
      <w:r w:rsidR="0027356B">
        <w:rPr>
          <w:rFonts w:ascii="Arial" w:hAnsi="Arial" w:hint="cs"/>
          <w:noProof w:val="0"/>
          <w:rtl/>
        </w:rPr>
        <w:t xml:space="preserve"> ככל שהמבקש גבה או קיזז ממנתם של היורשים חלק עבור שכר הטרחה בהתאם לשיעור הנקוב בצוואה, ישיב ליורשים את ההפרש בין חלקם לפי הנקוב בצוואה לבין חלקם לפי הנקוב בפסק דין זה.</w:t>
      </w:r>
    </w:p>
    <w:p w:rsidR="004675BE" w:rsidRDefault="004675BE" w:rsidP="004675BE">
      <w:pPr>
        <w:spacing w:line="360" w:lineRule="auto"/>
        <w:ind w:left="141" w:hanging="425"/>
        <w:jc w:val="both"/>
        <w:rPr>
          <w:rFonts w:ascii="Arial" w:hAnsi="Arial"/>
          <w:noProof w:val="0"/>
          <w:rtl/>
        </w:rPr>
      </w:pPr>
    </w:p>
    <w:p w:rsidR="004675BE" w:rsidRPr="004675BE" w:rsidRDefault="004675BE" w:rsidP="0027356B">
      <w:pPr>
        <w:pStyle w:val="ad"/>
        <w:numPr>
          <w:ilvl w:val="0"/>
          <w:numId w:val="3"/>
        </w:numPr>
        <w:spacing w:line="360" w:lineRule="auto"/>
        <w:jc w:val="both"/>
        <w:rPr>
          <w:rFonts w:ascii="Arial" w:hAnsi="Arial"/>
          <w:noProof w:val="0"/>
          <w:rtl/>
        </w:rPr>
      </w:pPr>
      <w:r w:rsidRPr="004675BE">
        <w:rPr>
          <w:rFonts w:ascii="Arial" w:hAnsi="Arial" w:hint="cs"/>
          <w:noProof w:val="0"/>
          <w:rtl/>
        </w:rPr>
        <w:t>אני משחררת את המבקש מתפקידו כמנהל עזבון המנוח.</w:t>
      </w:r>
    </w:p>
    <w:p w:rsidR="004675BE" w:rsidRDefault="004675BE" w:rsidP="004675BE">
      <w:pPr>
        <w:spacing w:line="360" w:lineRule="auto"/>
        <w:ind w:left="141" w:hanging="425"/>
        <w:jc w:val="both"/>
        <w:rPr>
          <w:rFonts w:ascii="Arial" w:hAnsi="Arial"/>
          <w:noProof w:val="0"/>
          <w:rtl/>
        </w:rPr>
      </w:pPr>
    </w:p>
    <w:p w:rsidR="004675BE" w:rsidRPr="004675BE" w:rsidRDefault="004675BE" w:rsidP="00302880">
      <w:pPr>
        <w:pStyle w:val="ad"/>
        <w:spacing w:line="360" w:lineRule="auto"/>
        <w:ind w:left="141" w:hanging="141"/>
        <w:jc w:val="both"/>
        <w:rPr>
          <w:rFonts w:ascii="Arial" w:hAnsi="Arial"/>
          <w:noProof w:val="0"/>
          <w:rtl/>
        </w:rPr>
      </w:pPr>
      <w:r w:rsidRPr="004675BE">
        <w:rPr>
          <w:rFonts w:ascii="Arial" w:hAnsi="Arial" w:hint="cs"/>
          <w:noProof w:val="0"/>
          <w:rtl/>
        </w:rPr>
        <w:t>פסק הדין מותר לפרסום בכפוף להשמטת פרטים מזהים ותיקוני הגהה.</w:t>
      </w:r>
    </w:p>
    <w:p w:rsidR="0027356B" w:rsidRDefault="0027356B" w:rsidP="0027356B">
      <w:pPr>
        <w:spacing w:line="360" w:lineRule="auto"/>
        <w:jc w:val="both"/>
        <w:rPr>
          <w:rFonts w:ascii="Arial" w:hAnsi="Arial"/>
          <w:noProof w:val="0"/>
          <w:rtl/>
        </w:rPr>
      </w:pPr>
    </w:p>
    <w:p w:rsidR="00694556" w:rsidRDefault="004675BE" w:rsidP="00F329EB">
      <w:pPr>
        <w:spacing w:line="360" w:lineRule="auto"/>
        <w:jc w:val="both"/>
        <w:rPr>
          <w:rFonts w:ascii="Arial" w:hAnsi="Arial"/>
          <w:noProof w:val="0"/>
          <w:rtl/>
        </w:rPr>
      </w:pPr>
      <w:r w:rsidRPr="0027356B">
        <w:rPr>
          <w:rFonts w:ascii="Arial" w:hAnsi="Arial" w:hint="cs"/>
          <w:b/>
          <w:bCs/>
          <w:noProof w:val="0"/>
          <w:rtl/>
        </w:rPr>
        <w:t>המזכירות תמציא את פסק הדין לצדדים ותסגור את התיק.</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0267D" w:rsidP="00633C4F">
      <w:pPr>
        <w:spacing w:line="360" w:lineRule="auto"/>
        <w:ind w:left="3600" w:firstLine="720"/>
      </w:pPr>
      <w:sdt>
        <w:sdtPr>
          <w:rPr>
            <w:rtl/>
          </w:rPr>
          <w:alias w:val="MergeField"/>
          <w:tag w:val="1237"/>
          <w:id w:val="-146823898"/>
        </w:sdtPr>
        <w:sdtEndPr/>
        <w:sdtContent>
          <w:r w:rsidR="0027330D">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67D" w:rsidRDefault="0020267D">
      <w:r>
        <w:separator/>
      </w:r>
    </w:p>
  </w:endnote>
  <w:endnote w:type="continuationSeparator" w:id="0">
    <w:p w:rsidR="0020267D" w:rsidRDefault="0020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74D" w:rsidRDefault="0064674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4674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4674D">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74D" w:rsidRDefault="0064674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67D" w:rsidRDefault="0020267D">
      <w:r>
        <w:separator/>
      </w:r>
    </w:p>
  </w:footnote>
  <w:footnote w:type="continuationSeparator" w:id="0">
    <w:p w:rsidR="0020267D" w:rsidRDefault="00202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74D" w:rsidRDefault="0064674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0267D" w:rsidP="00401C7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bookmarkStart w:id="0" w:name="_GoBack"/>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21860-04-23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01C78">
                <w:rPr>
                  <w:rFonts w:hint="cs"/>
                  <w:b/>
                  <w:bCs/>
                  <w:noProof w:val="0"/>
                  <w:sz w:val="26"/>
                  <w:szCs w:val="26"/>
                  <w:rtl/>
                </w:rPr>
                <w:t>מנהל העיזבון</w:t>
              </w:r>
              <w:r w:rsidR="00FB3C14">
                <w:rPr>
                  <w:b/>
                  <w:bCs/>
                  <w:noProof w:val="0"/>
                  <w:sz w:val="26"/>
                  <w:szCs w:val="26"/>
                  <w:rtl/>
                </w:rPr>
                <w:t xml:space="preserve"> נ' האפוטרופוס הכללי מחוז חיפה והצפון ואח'</w:t>
              </w:r>
            </w:sdtContent>
          </w:sdt>
        </w:p>
        <w:p w:rsidR="00694556" w:rsidRPr="00957C90" w:rsidRDefault="00694556">
          <w:pPr>
            <w:rPr>
              <w:b/>
              <w:bCs/>
              <w:noProof w:val="0"/>
              <w:sz w:val="2"/>
              <w:szCs w:val="2"/>
              <w:rtl/>
            </w:rPr>
          </w:pPr>
        </w:p>
        <w:p w:rsidR="00957C90" w:rsidRPr="00957C90" w:rsidRDefault="00957C90" w:rsidP="00F957DA">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74D" w:rsidRDefault="0064674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E7A01"/>
    <w:multiLevelType w:val="hybridMultilevel"/>
    <w:tmpl w:val="7E40010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F21FD"/>
    <w:multiLevelType w:val="hybridMultilevel"/>
    <w:tmpl w:val="1C8C8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A73E6A"/>
    <w:multiLevelType w:val="hybridMultilevel"/>
    <w:tmpl w:val="4FB66892"/>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673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67360&amp;lt;/CaseID&amp;gt;_x000d__x000a_        &amp;lt;CaseMonth&amp;gt;4&amp;lt;/CaseMonth&amp;gt;_x000d__x000a_        &amp;lt;CaseYear&amp;gt;2023&amp;lt;/CaseYear&amp;gt;_x000d__x000a_        &amp;lt;CaseNumber&amp;gt;21860&amp;lt;/CaseNumber&amp;gt;_x000d__x000a_        &amp;lt;NumeratorGroupID&amp;gt;1&amp;lt;/NumeratorGroupID&amp;gt;_x000d__x000a_        &amp;lt;CaseName&amp;gt;גביטש(המנוח) נ&amp;#39; האפוטרופוס הכללי מחוז חיפה והצפון ואח&amp;#39;&amp;lt;/CaseName&amp;gt;_x000d__x000a_        &amp;lt;CourtID&amp;gt;26&amp;lt;/CourtID&amp;gt;_x000d__x000a_        &amp;lt;CaseTypeID&amp;gt;86&amp;lt;/CaseTypeID&amp;gt;_x000d__x000a_        &amp;lt;CaseInterestID&amp;gt;2&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1860-04-23&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4-16T11:39:00+03:00&amp;lt;/CaseOpenDate&amp;gt;_x000d__x000a_        &amp;lt;PleaTypeID&amp;gt;5&amp;lt;/PleaTypeID&amp;gt;_x000d__x000a_        &amp;lt;CourtLevelID&amp;gt;1&amp;lt;/CourtLevelID&amp;gt;_x000d__x000a_        &amp;lt;CourtLevelCaseTypeInterestID&amp;gt;713&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נשלחה פניה לזהבית מב&amp;quot;כ היועמ&amp;quot;ש ביום 27.06.23. יעל &amp;lt;/CaseDesc&amp;gt;_x000d__x000a_        &amp;lt;isExistMinorSide&amp;gt;tru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67360&amp;lt;/CaseID&amp;gt;_x000d__x000a_        &amp;lt;CaseMonth&amp;gt;4&amp;lt;/CaseMonth&amp;gt;_x000d__x000a_        &amp;lt;CaseYear&amp;gt;2023&amp;lt;/CaseYear&amp;gt;_x000d__x000a_        &amp;lt;CaseNumber&amp;gt;21860&amp;lt;/CaseNumber&amp;gt;_x000d__x000a_        &amp;lt;NumeratorGroupID&amp;gt;1&amp;lt;/NumeratorGroupID&amp;gt;_x000d__x000a_        &amp;lt;CaseName&amp;gt;גביטש(המנוח) נ&amp;#39; האפוטרופוס הכללי מחוז חיפה והצפון ואח&amp;#39;&amp;lt;/CaseName&amp;gt;_x000d__x000a_        &amp;lt;CourtID&amp;gt;26&amp;lt;/CourtID&amp;gt;_x000d__x000a_        &amp;lt;CaseTypeID&amp;gt;86&amp;lt;/CaseTypeID&amp;gt;_x000d__x000a_        &amp;lt;CaseInterestID&amp;gt;2&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1860-04-23&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3-04-16T11:39:00+03:00&amp;lt;/CaseOpenDate&amp;gt;_x000d__x000a_        &amp;lt;PleaTypeID&amp;gt;5&amp;lt;/PleaTypeID&amp;gt;_x000d__x000a_        &amp;lt;CourtLevelID&amp;gt;1&amp;lt;/CourtLevelID&amp;gt;_x000d__x000a_        &amp;lt;CourtLevelCaseTypeInterestID&amp;gt;713&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נשלחה פניה לזהבית מב&amp;quot;כ היועמ&amp;quot;ש ביום 27.06.23. יעל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753021&amp;lt;/DecisionID&amp;gt;_x000d__x000a_        &amp;lt;DecisionName&amp;gt;פסק דין  שניתנה ע&amp;quot;י  לירון זרבל- קדשאי&amp;lt;/DecisionName&amp;gt;_x000d__x000a_        &amp;lt;DecisionStatusID&amp;gt;1&amp;lt;/DecisionStatusID&amp;gt;_x000d__x000a_        &amp;lt;DecisionStatusChangeDate&amp;gt;2024-05-26T13:43:50.79+03:00&amp;lt;/DecisionStatusChangeDate&amp;gt;_x000d__x000a_        &amp;lt;DecisionSignatureDate&amp;gt;2024-05-23T17:24:44.583+03:00&amp;lt;/DecisionSignatureDate&amp;gt;_x000d__x000a_        &amp;lt;DecisionSignatureUserID&amp;gt;033554098@GOV.IL&amp;lt;/DecisionSignatureUserID&amp;gt;_x000d__x000a_        &amp;lt;DecisionCreateDate&amp;gt;2024-05-20T15:11:39.587+03:00&amp;lt;/DecisionCreateDate&amp;gt;_x000d__x000a_        &amp;lt;DecisionChangeDate&amp;gt;2024-05-26T13:43:50.837+03: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47122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1753021&amp;lt;/DecisionID&amp;gt;_x000d__x000a_        &amp;lt;CaseID&amp;gt;80167360&amp;lt;/CaseID&amp;gt;_x000d__x000a_        &amp;lt;IsOriginal&amp;gt;true&amp;lt;/IsOriginal&amp;gt;_x000d__x000a_        &amp;lt;IsDeleted&amp;gt;false&amp;lt;/IsDeleted&amp;gt;_x000d__x000a_        &amp;lt;CaseName&amp;gt;גביטש(המנוח) נ&amp;#39; האפוטרופוס הכללי מחוז חיפה והצפון ואח&amp;#39;&amp;lt;/CaseName&amp;gt;_x000d__x000a_        &amp;lt;CaseDisplayIdentifier&amp;gt;21860-04-23 ת&amp;quot;ע&amp;lt;/CaseDisplayIdentifier&amp;gt;_x000d__x000a_      &amp;lt;/dt_DecisionCase&amp;gt;_x000d__x000a_    &amp;lt;/DecisionDS&amp;gt;_x000d__x000a_  &amp;lt;/diffgr:diffgram&amp;gt;_x000d__x000a_&amp;lt;/DecisionDS&amp;gt;"/>
    <w:docVar w:name="DecisionID" w:val="15175302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6283C"/>
    <w:rsid w:val="00076818"/>
    <w:rsid w:val="000822E4"/>
    <w:rsid w:val="000B6ECE"/>
    <w:rsid w:val="000D4A02"/>
    <w:rsid w:val="000F0C59"/>
    <w:rsid w:val="001072A9"/>
    <w:rsid w:val="00117FDA"/>
    <w:rsid w:val="00121F97"/>
    <w:rsid w:val="001277D7"/>
    <w:rsid w:val="00132017"/>
    <w:rsid w:val="0014234E"/>
    <w:rsid w:val="00145A87"/>
    <w:rsid w:val="001803FA"/>
    <w:rsid w:val="001C4003"/>
    <w:rsid w:val="001D0EF8"/>
    <w:rsid w:val="001F5474"/>
    <w:rsid w:val="0020267D"/>
    <w:rsid w:val="002352F7"/>
    <w:rsid w:val="00245A35"/>
    <w:rsid w:val="00247F42"/>
    <w:rsid w:val="0027277D"/>
    <w:rsid w:val="0027330D"/>
    <w:rsid w:val="0027356B"/>
    <w:rsid w:val="00281B8C"/>
    <w:rsid w:val="00283D8A"/>
    <w:rsid w:val="002F3D5C"/>
    <w:rsid w:val="00302880"/>
    <w:rsid w:val="0031189A"/>
    <w:rsid w:val="00331DE4"/>
    <w:rsid w:val="00381D3A"/>
    <w:rsid w:val="003823DA"/>
    <w:rsid w:val="00391086"/>
    <w:rsid w:val="00401C78"/>
    <w:rsid w:val="0043595F"/>
    <w:rsid w:val="004675BE"/>
    <w:rsid w:val="00472E20"/>
    <w:rsid w:val="0047645A"/>
    <w:rsid w:val="00483250"/>
    <w:rsid w:val="004B23A8"/>
    <w:rsid w:val="004B2EAE"/>
    <w:rsid w:val="004D49A3"/>
    <w:rsid w:val="004D50AC"/>
    <w:rsid w:val="004E0726"/>
    <w:rsid w:val="004E6E3C"/>
    <w:rsid w:val="004F6D96"/>
    <w:rsid w:val="005124F1"/>
    <w:rsid w:val="00527EA0"/>
    <w:rsid w:val="00530BAD"/>
    <w:rsid w:val="00541598"/>
    <w:rsid w:val="00547DB7"/>
    <w:rsid w:val="005536F9"/>
    <w:rsid w:val="00567324"/>
    <w:rsid w:val="005819A1"/>
    <w:rsid w:val="00582146"/>
    <w:rsid w:val="0059336B"/>
    <w:rsid w:val="005A5120"/>
    <w:rsid w:val="005B0F49"/>
    <w:rsid w:val="005C7EC6"/>
    <w:rsid w:val="005D4BDB"/>
    <w:rsid w:val="00606286"/>
    <w:rsid w:val="0061300C"/>
    <w:rsid w:val="006219DB"/>
    <w:rsid w:val="00622BAA"/>
    <w:rsid w:val="00625C89"/>
    <w:rsid w:val="00633C4F"/>
    <w:rsid w:val="00644614"/>
    <w:rsid w:val="0064674D"/>
    <w:rsid w:val="00671BD5"/>
    <w:rsid w:val="006805C1"/>
    <w:rsid w:val="006816EC"/>
    <w:rsid w:val="00694556"/>
    <w:rsid w:val="006D3CE2"/>
    <w:rsid w:val="006E1A53"/>
    <w:rsid w:val="007056AA"/>
    <w:rsid w:val="00712B1D"/>
    <w:rsid w:val="00724E45"/>
    <w:rsid w:val="00744F41"/>
    <w:rsid w:val="00746CED"/>
    <w:rsid w:val="007A24FE"/>
    <w:rsid w:val="007A35AA"/>
    <w:rsid w:val="007A5DAA"/>
    <w:rsid w:val="007B5B53"/>
    <w:rsid w:val="007F1048"/>
    <w:rsid w:val="00820005"/>
    <w:rsid w:val="00836235"/>
    <w:rsid w:val="00846D27"/>
    <w:rsid w:val="008610A7"/>
    <w:rsid w:val="00866E47"/>
    <w:rsid w:val="0088085E"/>
    <w:rsid w:val="008C2B2B"/>
    <w:rsid w:val="008C388D"/>
    <w:rsid w:val="008D1F33"/>
    <w:rsid w:val="008E1332"/>
    <w:rsid w:val="008E1F0A"/>
    <w:rsid w:val="00903896"/>
    <w:rsid w:val="009145FF"/>
    <w:rsid w:val="00927813"/>
    <w:rsid w:val="00944D13"/>
    <w:rsid w:val="00957C90"/>
    <w:rsid w:val="009630A8"/>
    <w:rsid w:val="009B70F6"/>
    <w:rsid w:val="009C358E"/>
    <w:rsid w:val="009C7846"/>
    <w:rsid w:val="009E0263"/>
    <w:rsid w:val="009F1EF7"/>
    <w:rsid w:val="00A267CF"/>
    <w:rsid w:val="00A342BD"/>
    <w:rsid w:val="00A43458"/>
    <w:rsid w:val="00A64DAC"/>
    <w:rsid w:val="00AC4E19"/>
    <w:rsid w:val="00AF1ED6"/>
    <w:rsid w:val="00B02619"/>
    <w:rsid w:val="00B17FE3"/>
    <w:rsid w:val="00B25A66"/>
    <w:rsid w:val="00B32C61"/>
    <w:rsid w:val="00B32E44"/>
    <w:rsid w:val="00B3651A"/>
    <w:rsid w:val="00B368FE"/>
    <w:rsid w:val="00B62AFA"/>
    <w:rsid w:val="00B80CBD"/>
    <w:rsid w:val="00B940E2"/>
    <w:rsid w:val="00BB49B9"/>
    <w:rsid w:val="00BC3369"/>
    <w:rsid w:val="00BD306A"/>
    <w:rsid w:val="00BF77EE"/>
    <w:rsid w:val="00C21E9B"/>
    <w:rsid w:val="00C32E0F"/>
    <w:rsid w:val="00C4052E"/>
    <w:rsid w:val="00C42BF9"/>
    <w:rsid w:val="00C53FAD"/>
    <w:rsid w:val="00C654D6"/>
    <w:rsid w:val="00C677C9"/>
    <w:rsid w:val="00C83E56"/>
    <w:rsid w:val="00CC63CE"/>
    <w:rsid w:val="00D24E01"/>
    <w:rsid w:val="00D319B3"/>
    <w:rsid w:val="00D36A71"/>
    <w:rsid w:val="00D53924"/>
    <w:rsid w:val="00D60849"/>
    <w:rsid w:val="00D72EC3"/>
    <w:rsid w:val="00D81E83"/>
    <w:rsid w:val="00D96D8C"/>
    <w:rsid w:val="00DA24BC"/>
    <w:rsid w:val="00DA60BA"/>
    <w:rsid w:val="00DA755B"/>
    <w:rsid w:val="00DC7F4A"/>
    <w:rsid w:val="00DD337E"/>
    <w:rsid w:val="00DF49AC"/>
    <w:rsid w:val="00E00B6F"/>
    <w:rsid w:val="00E20431"/>
    <w:rsid w:val="00E43A5B"/>
    <w:rsid w:val="00E44DDF"/>
    <w:rsid w:val="00E54642"/>
    <w:rsid w:val="00E97908"/>
    <w:rsid w:val="00EB2F30"/>
    <w:rsid w:val="00EC19B4"/>
    <w:rsid w:val="00EC7A19"/>
    <w:rsid w:val="00ED0B99"/>
    <w:rsid w:val="00EF3ED0"/>
    <w:rsid w:val="00F17E56"/>
    <w:rsid w:val="00F2204D"/>
    <w:rsid w:val="00F329EB"/>
    <w:rsid w:val="00F47777"/>
    <w:rsid w:val="00F957DA"/>
    <w:rsid w:val="00FB3C14"/>
    <w:rsid w:val="00FD66CF"/>
    <w:rsid w:val="00FD794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675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710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D36FDF"/>
    <w:rsid w:val="00EA7F31"/>
    <w:rsid w:val="00EF426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יחזקאל חרלף</FullName>
        <FirstName>יחזקאל</FirstName>
        <LastName>חרלף</LastName>
        <PartyPropertyName/>
        <AuthenticationTypeAndNumber>מ.ר. 13726</AuthenticationTypeAndNumber>
        <RepresentatedOrRepresentativesNames>מיכאל גביטש</RepresentatedOrRepresentativesNames>
        <RepresentatedOrRepresentativesCount>1</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254377384</CasePartyID>
        <PartyTypeID>2</PartyTypeID>
        <ActivityStatusID>1</ActivityStatusID>
        <PartyAliasID>22</PartyAliasID>
        <PartyAliasName>בא כוח מבקשים</PartyAliasName>
        <OrdinalNumber>1</OrdinalNumber>
        <LegalEntityID>386635</LegalEntityID>
        <CaseLegalEntityID>123948790</CaseLegalEntityID>
        <AuthenticationTypeID>4</AuthenticationTypeID>
        <AuthenticationTypeName>מ.ר.</AuthenticationTypeName>
        <LegalEntityNumber>13726</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צבר 11 חיפה </FullAddress>
        <EmailAddress>harlaff@bezeqint.net</EmailAddress>
        <MotionID>0</MotionID>
        <CasePleaID>0</CasePleaID>
        <FatherName xml:space="preserve">        </FatherName>
        <LinkedCaseID>0</LinkedCaseID>
        <PartyID>1</PartyID>
        <CasePartyCategoryID>2</CasePartyCategoryID>
        <LegalEntityAddressID>83564633</LegalEntityAddressID>
        <LegalEntityEmailAddressID>67888553</LegalEntityEmailAddressID>
        <PleaTypeID>5</PleaTypeID>
        <LawyerOfficeName>משרד עו"ד: יחזקאל חרלף</LawyerOfficeName>
        <LawyerOfficeID>427279</LawyerOfficeID>
        <GroupPartyAlias/>
        <IsConverted>false</IsConverted>
        <LegalEntityNameID>7619</LegalEntityNameID>
        <RepresentatedNamesOfAssistant/>
        <LegalEntityTypeID>4</LegalEntityTypeID>
        <IsVerdictExists>false</IsVerdictExists>
        <IsAsirAzir>false</IsAsirAzir>
        <IsPublicationProhibited>false</IsPublicationProhibited>
        <PublicationProhibitedFullName>יחזקאל חרלף</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מיכאל גביטש (המנוח)</FullName>
        <FirstName>מיכאל</FirstName>
        <LastName>גביטש</LastName>
        <PartyPropertyID>12</PartyPropertyID>
        <PartyPropertyName/>
        <AuthenticationTypeAndNumber>ת"ז 002194264</AuthenticationTypeAndNumber>
        <RepresentatedOrRepresentativesNames>יחזקאל חרלף</RepresentatedOrRepresentativesNames>
        <RepresentatedOrRepresentativesCount>1</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254377383</CasePartyID>
        <PartyTypeID>1</PartyTypeID>
        <ActivityStatusID>1</ActivityStatusID>
        <PartyAliasID>3</PartyAliasID>
        <PartyAliasName>מבקש</PartyAliasName>
        <OrdinalNumber>1</OrdinalNumber>
        <LegalEntityID>7537541</LegalEntityID>
        <CaseLegalEntityID>123948789</CaseLegalEntityID>
        <AuthenticationTypeID>1</AuthenticationTypeID>
        <AuthenticationTypeName>ת"ז</AuthenticationTypeName>
        <LegalEntityNumber>002194264</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
        <MotionID>0</MotionID>
        <CasePleaID>0</CasePleaID>
        <FatherName>רפאל</FatherName>
        <LinkedCaseID>0</LinkedCaseID>
        <PartyID>1</PartyID>
        <CasePartyCategoryID>2</CasePartyCategoryID>
        <PleaTypeID>5</PleaTypeID>
        <GroupPartyAlias>מבקשים</GroupPartyAlias>
        <IsConverted>false</IsConverted>
        <LegalEntityRegisteredNameID>10305964</LegalEntityRegisteredNameID>
        <LegalEntityNameID>94708440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גביטש (המנוח)</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254377385</CasePartyID>
        <PartyTypeID>1</PartyTypeID>
        <ActivityStatusID>1</ActivityStatusID>
        <PartyAliasID>4</PartyAliasID>
        <PartyAliasName>משיב</PartyAliasName>
        <OrdinalNumber>1</OrdinalNumber>
        <LegalEntityID>15841402</LegalEntityID>
        <CaseLegalEntityID>123948791</CaseLegalEntityID>
        <AuthenticationTypeID>13</AuthenticationTypeID>
        <AuthenticationTypeName>משרדי ממשלה</AuthenticationTypeName>
        <LegalEntityNumber>570000605</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יפה אבוזגלו</FullName>
        <FirstName>יפה</FirstName>
        <LastName>אבוזגלו</LastName>
        <PartyPropertyName/>
        <AuthenticationTypeAndNumber>ת"ז 053627246</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254378616</CasePartyID>
        <PartyTypeID>1</PartyTypeID>
        <ActivityStatusID>1</ActivityStatusID>
        <PartyAliasID>4</PartyAliasID>
        <PartyAliasName>משיב</PartyAliasName>
        <OrdinalNumber>2</OrdinalNumber>
        <LegalEntityID>81152673</LegalEntityID>
        <CaseLegalEntityID>123949074</CaseLegalEntityID>
        <AuthenticationTypeID>1</AuthenticationTypeID>
        <AuthenticationTypeName>ת"ז</AuthenticationTypeName>
        <LegalEntityNumber>053627246</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הגליל 15 חיפה </FullAddress>
        <MotionID>0</MotionID>
        <CasePleaID>0</CasePleaID>
        <FatherName>אליהו</FatherName>
        <LinkedCaseID>0</LinkedCaseID>
        <PartyID>2</PartyID>
        <CasePartyCategoryID>2</CasePartyCategoryID>
        <LegalEntityAddressID>87789970</LegalEntityAddressID>
        <PleaTypeID>5</PleaTypeID>
        <GroupPartyAlias>משיבים</GroupPartyAlias>
        <IsConverted>false</IsConverted>
        <LegalEntityRegisteredNameID>10305990</LegalEntityRegisteredNameID>
        <LegalEntityNameID>94708539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יפה אבוזגלו</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נינה גריף</FullName>
        <FirstName>נינה</FirstName>
        <LastName>גריף</LastName>
        <PartyPropertyName/>
        <AuthenticationTypeAndNumber>ת"ז 005942065</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254378779</CasePartyID>
        <PartyTypeID>1</PartyTypeID>
        <ActivityStatusID>1</ActivityStatusID>
        <PartyAliasID>4</PartyAliasID>
        <PartyAliasName>משיב</PartyAliasName>
        <OrdinalNumber>3</OrdinalNumber>
        <LegalEntityID>70568127</LegalEntityID>
        <CaseLegalEntityID>123949097</CaseLegalEntityID>
        <AuthenticationTypeID>1</AuthenticationTypeID>
        <AuthenticationTypeName>ת"ז</AuthenticationTypeName>
        <LegalEntityNumber>005942065</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הקוממיות 20 רמת השרון </FullAddress>
        <MotionID>0</MotionID>
        <CasePleaID>0</CasePleaID>
        <FatherName>קורט</FatherName>
        <LinkedCaseID>0</LinkedCaseID>
        <PartyID>2</PartyID>
        <CasePartyCategoryID>2</CasePartyCategoryID>
        <LegalEntityAddressID>87789974</LegalEntityAddressID>
        <PleaTypeID>5</PleaTypeID>
        <GroupPartyAlias>משיבים</GroupPartyAlias>
        <IsConverted>false</IsConverted>
        <LegalEntityNameID>94708544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נינה גריף</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מאי גריף (קטין)</FullName>
        <FirstName>מאי</FirstName>
        <LastName>גריף</LastName>
        <PartyPropertyID>2</PartyPropertyID>
        <PartyPropertyName/>
        <AuthenticationTypeAndNumber>ת"ז 342000395</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254379004</CasePartyID>
        <PartyTypeID>1</PartyTypeID>
        <ActivityStatusID>1</ActivityStatusID>
        <PartyAliasID>4</PartyAliasID>
        <PartyAliasName>משיב</PartyAliasName>
        <OrdinalNumber>4</OrdinalNumber>
        <LegalEntityID>81152681</LegalEntityID>
        <CaseLegalEntityID>123949146</CaseLegalEntityID>
        <AuthenticationTypeID>1</AuthenticationTypeID>
        <AuthenticationTypeName>ת"ז</AuthenticationTypeName>
        <LegalEntityNumber>342000395</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הקוממיות 20 רמת השרון ע"י הוריה גריף דניאל</FullAddress>
        <MotionID>0</MotionID>
        <CasePleaID>0</CasePleaID>
        <FatherName>דניאל</FatherName>
        <LinkedCaseID>0</LinkedCaseID>
        <PartyID>2</PartyID>
        <CasePartyCategoryID>2</CasePartyCategoryID>
        <LegalEntityAddressID>87789987</LegalEntityAddressID>
        <PleaTypeID>5</PleaTypeID>
        <GroupPartyAlias>משיבים</GroupPartyAlias>
        <IsConverted>false</IsConverted>
        <LegalEntityRegisteredNameID>10305995</LegalEntityRegisteredNameID>
        <LegalEntityNameID>94708561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 גריף (קטין)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קרן הצדקה של ארגון עולי מרכז אירופה</FullName>
        <FirstName>קרן הצדקה</FirstName>
        <LastName>של ארגון עולי מרכז אירופה</LastName>
        <PartyPropertyName/>
        <AuthenticationTypeAndNumber>ת"ז </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254379415</CasePartyID>
        <PartyTypeID>1</PartyTypeID>
        <ActivityStatusID>1</ActivityStatusID>
        <PartyAliasID>4</PartyAliasID>
        <PartyAliasName>משיב</PartyAliasName>
        <OrdinalNumber>5</OrdinalNumber>
        <LegalEntityID>81152697</LegalEntityID>
        <CaseLegalEntityID>123949244</CaseLegalEntityID>
        <AuthenticationTypeID>1</AuthenticationTypeID>
        <AuthenticationTypeName>ת"ז</AuthenticationTypeName>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שד' מאפו 8 חיפה מס עמותה 59000097</FullAddress>
        <MotionID>0</MotionID>
        <CasePleaID>0</CasePleaID>
        <LinkedCaseID>0</LinkedCaseID>
        <PartyID>2</PartyID>
        <CasePartyCategoryID>2</CasePartyCategoryID>
        <LegalEntityAddressID>87790025</LegalEntityAddressID>
        <PleaTypeID>5</PleaTypeID>
        <GroupPartyAlias>משיבים</GroupPartyAlias>
        <IsConverted>false</IsConverted>
        <LegalEntityNameID>94708596</LegalEntityNameID>
        <RepresentatedNamesOfAssistant/>
        <LegalEntityTypeID>1</LegalEntityTypeID>
        <IsVerdictExists>false</IsVerdictExists>
        <IsAsirAzir>false</IsAsirAzir>
        <IsPublicationProhibited>false</IsPublicationProhibited>
        <PublicationProhibitedFullName>קרן הצדקה של ארגון עולי מרכז אירופה</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אגודת ידידי המרכז הרפואי בני ציון</FullName>
        <FirstName>אגודת ידידי</FirstName>
        <LastName>המרכז הרפואי בני ציון</LastName>
        <PartyPropertyName/>
        <AuthenticationTypeAndNumber>ת"ז </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254379688</CasePartyID>
        <PartyTypeID>1</PartyTypeID>
        <ActivityStatusID>1</ActivityStatusID>
        <PartyAliasID>4</PartyAliasID>
        <PartyAliasName>משיב</PartyAliasName>
        <OrdinalNumber>6</OrdinalNumber>
        <LegalEntityID>81152706</LegalEntityID>
        <CaseLegalEntityID>123949307</CaseLegalEntityID>
        <AuthenticationTypeID>1</AuthenticationTypeID>
        <AuthenticationTypeName>ת"ז</AuthenticationTypeName>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גולומב 47 חיפה </FullAddress>
        <MotionID>0</MotionID>
        <CasePleaID>0</CasePleaID>
        <LinkedCaseID>0</LinkedCaseID>
        <PartyID>2</PartyID>
        <CasePartyCategoryID>2</CasePartyCategoryID>
        <LegalEntityAddressID>87790043</LegalEntityAddressID>
        <PleaTypeID>5</PleaTypeID>
        <GroupPartyAlias>משיבים</GroupPartyAlias>
        <IsConverted>false</IsConverted>
        <LegalEntityNameID>94708618</LegalEntityNameID>
        <RepresentatedNamesOfAssistant/>
        <LegalEntityTypeID>1</LegalEntityTypeID>
        <IsVerdictExists>false</IsVerdictExists>
        <IsAsirAzir>false</IsAsirAzir>
        <IsPublicationProhibited>false</IsPublicationProhibited>
        <PublicationProhibitedFullName>אגודת ידידי המרכז הרפואי בני ציון</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לימור ברוך מיכאל</FullName>
        <FirstName>ברוך מיכאל</FirstName>
        <LastName>לימור</LastName>
        <PartyPropertyName/>
        <AuthenticationTypeAndNumber>ת"ז 000462267</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254380642</CasePartyID>
        <PartyTypeID>1</PartyTypeID>
        <ActivityStatusID>1</ActivityStatusID>
        <PartyAliasID>4</PartyAliasID>
        <PartyAliasName>משיב</PartyAliasName>
        <OrdinalNumber>7</OrdinalNumber>
        <LegalEntityID>73876309</LegalEntityID>
        <CaseLegalEntityID>123949610</CaseLegalEntityID>
        <AuthenticationTypeID>1</AuthenticationTypeID>
        <AuthenticationTypeName>ת"ז</AuthenticationTypeName>
        <LegalEntityNumber>000462267</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בת חן 40 חיפה בית אבות פיסגה איש הקשר למוזיאון של ארגון יוצאי מרכז אירופה בגוש תפן</FullAddress>
        <MotionID>0</MotionID>
        <CasePleaID>0</CasePleaID>
        <BirthDate>1938-10-01T00:00:00+02:00</BirthDate>
        <FatherName>אברהם   </FatherName>
        <LinkedCaseID>0</LinkedCaseID>
        <PartyID>2</PartyID>
        <CasePartyCategoryID>2</CasePartyCategoryID>
        <LegalEntityAddressID>87790125</LegalEntityAddressID>
        <PleaTypeID>5</PleaTypeID>
        <GroupPartyAlias>משיבים</GroupPartyAlias>
        <IsConverted>false</IsConverted>
        <LegalEntityRegisteredNameID>4538177</LegalEntityRegisteredNameID>
        <LegalEntityNameID>94708706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לימור ברוך מיכאל</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2024-05-20T15:06:21.6122002+03:00</DecisionSignatureDate>
    <OpenCaseDate>2023-04-16T11:39:00+03:00</OpenCaseDate>
    <CaseFeeSum>0.000</CaseFeeSum>
    <DecisionTypeID>2</DecisionTypeID>
    <DecisionSignatureUserName>לירון זרבל- קדשאי</DecisionSignatureUserName>
    <DecisionSignatureDateHebrew>2024-05-20T15:06:21.6122002+03:00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גביטש(המנוח) נ' האפוטרופוס הכללי מחוז חיפה והצפון ואח'</CaseName>
    <DecisionNumberInCase>11</DecisionNumberInCase>
  </dt_Decision>
  <dt_DecisionCase>
    <DecisionID>0</DecisionID>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יחזקאל חרלף</FullName>
        <FirstName>יחזקאל</FirstName>
        <LastName>חרלף</LastName>
        <PartyPropertyName/>
        <AuthenticationTypeAndNumber>מ.ר. 13726</AuthenticationTypeAndNumber>
        <RepresentatedOrRepresentativesNames>מיכאל גביטש</RepresentatedOrRepresentativesNames>
        <RepresentatedOrRepresentativesCount>1</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254377384</CasePartyID>
        <PartyTypeID>2</PartyTypeID>
        <ActivityStatusID>1</ActivityStatusID>
        <PartyAliasID>22</PartyAliasID>
        <PartyAliasName>בא כוח מבקשים</PartyAliasName>
        <OrdinalNumber>1</OrdinalNumber>
        <LegalEntityID>386635</LegalEntityID>
        <CaseLegalEntityID>123948790</CaseLegalEntityID>
        <AuthenticationTypeID>4</AuthenticationTypeID>
        <AuthenticationTypeName>מ.ר.</AuthenticationTypeName>
        <LegalEntityNumber>13726</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צבר 11 חיפה </FullAddress>
        <EmailAddress>harlaff@bezeqint.net</EmailAddress>
        <MotionID>0</MotionID>
        <CasePleaID>0</CasePleaID>
        <FatherName xml:space="preserve">        </FatherName>
        <LinkedCaseID>0</LinkedCaseID>
        <PartyID>1</PartyID>
        <CasePartyCategoryID>2</CasePartyCategoryID>
        <LegalEntityAddressID>83564633</LegalEntityAddressID>
        <LegalEntityEmailAddressID>67888553</LegalEntityEmailAddressID>
        <PleaTypeID>5</PleaTypeID>
        <LawyerOfficeName>משרד עו"ד: יחזקאל חרלף</LawyerOfficeName>
        <LawyerOfficeID>427279</LawyerOfficeID>
        <GroupPartyAlias/>
        <IsConverted>false</IsConverted>
        <LegalEntityNameID>7619</LegalEntityNameID>
        <RepresentatedNamesOfAssistant/>
        <LegalEntityTypeID>4</LegalEntityTypeID>
        <IsVerdictExists>false</IsVerdictExists>
        <IsAsirAzir>false</IsAsirAzir>
        <IsPublicationProhibited>false</IsPublicationProhibited>
        <PublicationProhibitedFullName>יחזקאל חרלף</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מיכאל גביטש (המנוח)</FullName>
        <FirstName>מיכאל</FirstName>
        <LastName>גביטש</LastName>
        <PartyPropertyID>12</PartyPropertyID>
        <PartyPropertyName/>
        <AuthenticationTypeAndNumber>ת"ז 002194264</AuthenticationTypeAndNumber>
        <RepresentatedOrRepresentativesNames>יחזקאל חרלף</RepresentatedOrRepresentativesNames>
        <RepresentatedOrRepresentativesCount>1</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254377383</CasePartyID>
        <PartyTypeID>1</PartyTypeID>
        <ActivityStatusID>1</ActivityStatusID>
        <PartyAliasID>3</PartyAliasID>
        <PartyAliasName>מבקש</PartyAliasName>
        <OrdinalNumber>1</OrdinalNumber>
        <LegalEntityID>7537541</LegalEntityID>
        <CaseLegalEntityID>123948789</CaseLegalEntityID>
        <AuthenticationTypeID>1</AuthenticationTypeID>
        <AuthenticationTypeName>ת"ז</AuthenticationTypeName>
        <LegalEntityNumber>002194264</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
        <MotionID>0</MotionID>
        <CasePleaID>0</CasePleaID>
        <FatherName>רפאל</FatherName>
        <LinkedCaseID>0</LinkedCaseID>
        <PartyID>1</PartyID>
        <CasePartyCategoryID>2</CasePartyCategoryID>
        <PleaTypeID>5</PleaTypeID>
        <GroupPartyAlias>מבקשים</GroupPartyAlias>
        <IsConverted>false</IsConverted>
        <LegalEntityRegisteredNameID>10305964</LegalEntityRegisteredNameID>
        <LegalEntityNameID>94708440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גביטש (המנוח)</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254377385</CasePartyID>
        <PartyTypeID>1</PartyTypeID>
        <ActivityStatusID>1</ActivityStatusID>
        <PartyAliasID>4</PartyAliasID>
        <PartyAliasName>משיב</PartyAliasName>
        <OrdinalNumber>1</OrdinalNumber>
        <LegalEntityID>15841402</LegalEntityID>
        <CaseLegalEntityID>123948791</CaseLegalEntityID>
        <AuthenticationTypeID>13</AuthenticationTypeID>
        <AuthenticationTypeName>משרדי ממשלה</AuthenticationTypeName>
        <LegalEntityNumber>570000605</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יפה אבוזגלו</FullName>
        <FirstName>יפה</FirstName>
        <LastName>אבוזגלו</LastName>
        <PartyPropertyName/>
        <AuthenticationTypeAndNumber>ת"ז 053627246</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254378616</CasePartyID>
        <PartyTypeID>1</PartyTypeID>
        <ActivityStatusID>1</ActivityStatusID>
        <PartyAliasID>4</PartyAliasID>
        <PartyAliasName>משיב</PartyAliasName>
        <OrdinalNumber>2</OrdinalNumber>
        <LegalEntityID>81152673</LegalEntityID>
        <CaseLegalEntityID>123949074</CaseLegalEntityID>
        <AuthenticationTypeID>1</AuthenticationTypeID>
        <AuthenticationTypeName>ת"ז</AuthenticationTypeName>
        <LegalEntityNumber>053627246</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הגליל 15 חיפה </FullAddress>
        <MotionID>0</MotionID>
        <CasePleaID>0</CasePleaID>
        <FatherName>אליהו</FatherName>
        <LinkedCaseID>0</LinkedCaseID>
        <PartyID>2</PartyID>
        <CasePartyCategoryID>2</CasePartyCategoryID>
        <LegalEntityAddressID>87789970</LegalEntityAddressID>
        <PleaTypeID>5</PleaTypeID>
        <GroupPartyAlias>משיבים</GroupPartyAlias>
        <IsConverted>false</IsConverted>
        <LegalEntityRegisteredNameID>10305990</LegalEntityRegisteredNameID>
        <LegalEntityNameID>94708539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יפה אבוזגלו</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נינה גריף</FullName>
        <FirstName>נינה</FirstName>
        <LastName>גריף</LastName>
        <PartyPropertyName/>
        <AuthenticationTypeAndNumber>ת"ז 005942065</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254378779</CasePartyID>
        <PartyTypeID>1</PartyTypeID>
        <ActivityStatusID>1</ActivityStatusID>
        <PartyAliasID>4</PartyAliasID>
        <PartyAliasName>משיב</PartyAliasName>
        <OrdinalNumber>3</OrdinalNumber>
        <LegalEntityID>70568127</LegalEntityID>
        <CaseLegalEntityID>123949097</CaseLegalEntityID>
        <AuthenticationTypeID>1</AuthenticationTypeID>
        <AuthenticationTypeName>ת"ז</AuthenticationTypeName>
        <LegalEntityNumber>005942065</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הקוממיות 20 רמת השרון </FullAddress>
        <MotionID>0</MotionID>
        <CasePleaID>0</CasePleaID>
        <FatherName>קורט</FatherName>
        <LinkedCaseID>0</LinkedCaseID>
        <PartyID>2</PartyID>
        <CasePartyCategoryID>2</CasePartyCategoryID>
        <LegalEntityAddressID>87789974</LegalEntityAddressID>
        <PleaTypeID>5</PleaTypeID>
        <GroupPartyAlias>משיבים</GroupPartyAlias>
        <IsConverted>false</IsConverted>
        <LegalEntityNameID>94708544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נינה גריף</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מאי גריף (קטין)</FullName>
        <FirstName>מאי</FirstName>
        <LastName>גריף</LastName>
        <PartyPropertyID>2</PartyPropertyID>
        <PartyPropertyName/>
        <AuthenticationTypeAndNumber>ת"ז 342000395</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254379004</CasePartyID>
        <PartyTypeID>1</PartyTypeID>
        <ActivityStatusID>1</ActivityStatusID>
        <PartyAliasID>4</PartyAliasID>
        <PartyAliasName>משיב</PartyAliasName>
        <OrdinalNumber>4</OrdinalNumber>
        <LegalEntityID>81152681</LegalEntityID>
        <CaseLegalEntityID>123949146</CaseLegalEntityID>
        <AuthenticationTypeID>1</AuthenticationTypeID>
        <AuthenticationTypeName>ת"ז</AuthenticationTypeName>
        <LegalEntityNumber>342000395</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הקוממיות 20 רמת השרון ע"י הוריה גריף דניאל</FullAddress>
        <MotionID>0</MotionID>
        <CasePleaID>0</CasePleaID>
        <FatherName>דניאל</FatherName>
        <LinkedCaseID>0</LinkedCaseID>
        <PartyID>2</PartyID>
        <CasePartyCategoryID>2</CasePartyCategoryID>
        <LegalEntityAddressID>87789987</LegalEntityAddressID>
        <PleaTypeID>5</PleaTypeID>
        <GroupPartyAlias>משיבים</GroupPartyAlias>
        <IsConverted>false</IsConverted>
        <LegalEntityRegisteredNameID>10305995</LegalEntityRegisteredNameID>
        <LegalEntityNameID>94708561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 גריף (קטין)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קרן הצדקה של ארגון עולי מרכז אירופה</FullName>
        <FirstName>קרן הצדקה</FirstName>
        <LastName>של ארגון עולי מרכז אירופה</LastName>
        <PartyPropertyName/>
        <AuthenticationTypeAndNumber>ת"ז </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254379415</CasePartyID>
        <PartyTypeID>1</PartyTypeID>
        <ActivityStatusID>1</ActivityStatusID>
        <PartyAliasID>4</PartyAliasID>
        <PartyAliasName>משיב</PartyAliasName>
        <OrdinalNumber>5</OrdinalNumber>
        <LegalEntityID>81152697</LegalEntityID>
        <CaseLegalEntityID>123949244</CaseLegalEntityID>
        <AuthenticationTypeID>1</AuthenticationTypeID>
        <AuthenticationTypeName>ת"ז</AuthenticationTypeName>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שד' מאפו 8 חיפה מס עמותה 59000097</FullAddress>
        <MotionID>0</MotionID>
        <CasePleaID>0</CasePleaID>
        <LinkedCaseID>0</LinkedCaseID>
        <PartyID>2</PartyID>
        <CasePartyCategoryID>2</CasePartyCategoryID>
        <LegalEntityAddressID>87790025</LegalEntityAddressID>
        <PleaTypeID>5</PleaTypeID>
        <GroupPartyAlias>משיבים</GroupPartyAlias>
        <IsConverted>false</IsConverted>
        <LegalEntityNameID>94708596</LegalEntityNameID>
        <RepresentatedNamesOfAssistant/>
        <LegalEntityTypeID>1</LegalEntityTypeID>
        <IsVerdictExists>false</IsVerdictExists>
        <IsAsirAzir>false</IsAsirAzir>
        <IsPublicationProhibited>false</IsPublicationProhibited>
        <PublicationProhibitedFullName>קרן הצדקה של ארגון עולי מרכז אירופה</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אגודת ידידי המרכז הרפואי בני ציון</FullName>
        <FirstName>אגודת ידידי</FirstName>
        <LastName>המרכז הרפואי בני ציון</LastName>
        <PartyPropertyName/>
        <AuthenticationTypeAndNumber>ת"ז </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254379688</CasePartyID>
        <PartyTypeID>1</PartyTypeID>
        <ActivityStatusID>1</ActivityStatusID>
        <PartyAliasID>4</PartyAliasID>
        <PartyAliasName>משיב</PartyAliasName>
        <OrdinalNumber>6</OrdinalNumber>
        <LegalEntityID>81152706</LegalEntityID>
        <CaseLegalEntityID>123949307</CaseLegalEntityID>
        <AuthenticationTypeID>1</AuthenticationTypeID>
        <AuthenticationTypeName>ת"ז</AuthenticationTypeName>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גולומב 47 חיפה </FullAddress>
        <MotionID>0</MotionID>
        <CasePleaID>0</CasePleaID>
        <LinkedCaseID>0</LinkedCaseID>
        <PartyID>2</PartyID>
        <CasePartyCategoryID>2</CasePartyCategoryID>
        <LegalEntityAddressID>87790043</LegalEntityAddressID>
        <PleaTypeID>5</PleaTypeID>
        <GroupPartyAlias>משיבים</GroupPartyAlias>
        <IsConverted>false</IsConverted>
        <LegalEntityNameID>94708618</LegalEntityNameID>
        <RepresentatedNamesOfAssistant/>
        <LegalEntityTypeID>1</LegalEntityTypeID>
        <IsVerdictExists>false</IsVerdictExists>
        <IsAsirAzir>false</IsAsirAzir>
        <IsPublicationProhibited>false</IsPublicationProhibited>
        <PublicationProhibitedFullName>אגודת ידידי המרכז הרפואי בני ציון</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לימור ברוך מיכאל</FullName>
        <FirstName>ברוך מיכאל</FirstName>
        <LastName>לימור</LastName>
        <PartyPropertyName/>
        <AuthenticationTypeAndNumber>ת"ז 000462267</AuthenticationTypeAndNumber>
        <RepresentatedOrRepresentativesNames/>
        <RepresentatedOrRepresentativesCount>0</RepresentatedOrRepresentativesCount>
        <InvitedBy/>
        <CaseID>80167360</CaseID>
        <CaseJudicialPersonPresentationDS>
          <CaseJudicalPersonActive>
            <CaseID>80167360</CaseID>
            <JudicialPersonID>033554098@GOV.IL</JudicialPersonID>
            <JudicialPersonTypeID>1</JudicialPersonTypeID>
            <JudicialTypeID>1</JudicialTypeID>
            <IsChairman>false</IsChairman>
            <TreatmentStartDate>2023-04-16T14:17:54.303+03:00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254380642</CasePartyID>
        <PartyTypeID>1</PartyTypeID>
        <ActivityStatusID>1</ActivityStatusID>
        <PartyAliasID>4</PartyAliasID>
        <PartyAliasName>משיב</PartyAliasName>
        <OrdinalNumber>7</OrdinalNumber>
        <LegalEntityID>73876309</LegalEntityID>
        <CaseLegalEntityID>123949610</CaseLegalEntityID>
        <AuthenticationTypeID>1</AuthenticationTypeID>
        <AuthenticationTypeName>ת"ז</AuthenticationTypeName>
        <LegalEntityNumber>000462267</LegalEntityNumber>
        <IsMainPartyType>true</IsMainPartyType>
        <CaseDisplayIdentifier>21860-04-23</CaseDisplayIdentifier>
        <CaseTypeID>86</CaseTypeID>
        <CaseTypeName>תיק עזבונות (ת"ע)</CaseTypeName>
        <CaseName>גביטש(המנוח) נ' האפוטרופוס הכללי מחוז חיפה והצפון ואח'</CaseName>
        <FullAddress>בת חן 40 חיפה בית אבות פיסגה איש הקשר למוזיאון של ארגון יוצאי מרכז אירופה בגוש תפן</FullAddress>
        <MotionID>0</MotionID>
        <CasePleaID>0</CasePleaID>
        <BirthDate>1938-10-01T00:00:00+02:00</BirthDate>
        <FatherName>אברהם   </FatherName>
        <LinkedCaseID>0</LinkedCaseID>
        <PartyID>2</PartyID>
        <CasePartyCategoryID>2</CasePartyCategoryID>
        <LegalEntityAddressID>87790125</LegalEntityAddressID>
        <PleaTypeID>5</PleaTypeID>
        <GroupPartyAlias>משיבים</GroupPartyAlias>
        <IsConverted>false</IsConverted>
        <LegalEntityRegisteredNameID>4538177</LegalEntityRegisteredNameID>
        <LegalEntityNameID>94708706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לימור ברוך מיכאל</PublicationProhibitedFullName>
      </CaseParties>
    </CasePartiesSelectionDS>
    <CaseName>גביטש(המנוח) נ' האפוטרופוס הכללי מחוז חיפה והצפון ואח'</CaseName>
    <CaseDisplayIdentifier>21860-04-23</CaseDisplayIdentifier>
    <CaseInterestID>2</CaseInterestID>
    <CaseTypeShortName>ת"ע</CaseTypeShortName>
  </dt_DecisionCase>
  <dt_DecisionJudgePanel>
    <JudgeID>033554098@GOV.IL</JudgeID>
    <DisplayName>לירון זרבל- קדשאי</DisplayName>
    <RoleName>שופט</RoleName>
    <UserTitleName>שופטת</UserTitleName>
  </dt_DecisionJudgePanel>
  <dt_LegalEntityDetails>
    <PartyID>1</PartyID>
    <PartyTypeID>1</PartyTypeID>
    <DecisionID>0</DecisionID>
    <FullName>מיכאל גביטש</FullName>
    <IsPublicationProhibited>false</IsPublicationProhibited>
  </dt_LegalEntityDetails>
  <dt_LegalEntityDetails>
    <Fax>04-8670096</Fax>
    <Phone>04-8620728</Phone>
    <AddressDesc/>
    <PartyID>1</PartyID>
    <PartyTypeID>2</PartyTypeID>
    <DecisionID>0</DecisionID>
    <StreetName>צבר 11</StreetName>
    <ZipCode>3473806</ZipCode>
    <CityName>חיפה</CityName>
    <FullName>יחזקאל חרלף</FullName>
    <Email>harlaff@bezeqint.net</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StreetName>הגליל 15 </StreetName>
    <CityName>חיפה</CityName>
    <FullName>יפה אבוזגלו</FullName>
    <IsPublicationProhibited>false</IsPublicationProhibited>
  </dt_LegalEntityDetails>
  <dt_LegalEntityDetails>
    <PartyID>2</PartyID>
    <PartyTypeID>1</PartyTypeID>
    <DecisionID>0</DecisionID>
    <StreetName>הקוממיות 20</StreetName>
    <CityName>רמת השרון</CityName>
    <FullName>נינה  גריף</FullName>
    <IsPublicationProhibited>false</IsPublicationProhibited>
  </dt_LegalEntityDetails>
  <dt_LegalEntityDetails>
    <AddressDesc>ע"י הוריה גריף דניאל </AddressDesc>
    <PartyID>2</PartyID>
    <PartyTypeID>1</PartyTypeID>
    <DecisionID>0</DecisionID>
    <StreetName>הקוממיות 20</StreetName>
    <CityName>רמת השרון</CityName>
    <FullName>מאי גריף</FullName>
    <IsPublicationProhibited>false</IsPublicationProhibited>
  </dt_LegalEntityDetails>
  <dt_LegalEntityDetails>
    <AddressDesc>מס עמותה 59000097 </AddressDesc>
    <PartyID>2</PartyID>
    <PartyTypeID>1</PartyTypeID>
    <DecisionID>0</DecisionID>
    <StreetName>שד' מאפו 8</StreetName>
    <CityName>חיפה</CityName>
    <FullName>קרן הצדקה  של ארגון עולי מרכז אירופה</FullName>
    <IsPublicationProhibited>false</IsPublicationProhibited>
  </dt_LegalEntityDetails>
  <dt_LegalEntityDetails>
    <PartyID>2</PartyID>
    <PartyTypeID>1</PartyTypeID>
    <DecisionID>0</DecisionID>
    <StreetName>גולומב 47</StreetName>
    <CityName>חיפה</CityName>
    <FullName>אגודת ידידי המרכז הרפואי בני ציון </FullName>
    <IsPublicationProhibited>false</IsPublicationProhibited>
  </dt_LegalEntityDetails>
  <dt_LegalEntityDetails>
    <AddressDesc>בית אבות פיסגה איש הקשר למוזיאון של ארגון יוצאי מרכז אירופה בגוש תפן </AddressDesc>
    <PartyID>2</PartyID>
    <PartyTypeID>1</PartyTypeID>
    <DecisionID>0</DecisionID>
    <StreetName>בת חן 40</StreetName>
    <CityName>חיפה</CityName>
    <FullName>לימור ברוך מיכאל </FullName>
    <IsPublicationProhibited>false</IsPublicationProhibited>
  </dt_LegalEntityDetails>
  <dt_CaseJudicalPersonActive>
    <CaseJudicalPerson>שופטת לירון זרבל- קדשאי</CaseJudicalPerson>
  </dt_CaseJudicalPersonActive>
  <dt_Sitting/>
</DecisionTemplateDS>
</file>

<file path=customXml/itemProps1.xml><?xml version="1.0" encoding="utf-8"?>
<ds:datastoreItem xmlns:ds="http://schemas.openxmlformats.org/officeDocument/2006/customXml" ds:itemID="{51362E27-6530-4980-8617-5E5568E3AC3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2556</Words>
  <Characters>12781</Characters>
  <Application>Microsoft Office Word</Application>
  <DocSecurity>0</DocSecurity>
  <Lines>106</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2024-05-29T06:58:00Z</cp:lastPrinted>
  <dcterms:created xsi:type="dcterms:W3CDTF">2024-06-03T06:09:00Z</dcterms:created>
  <dcterms:modified xsi:type="dcterms:W3CDTF">2024-06-03T06:09:00Z</dcterms:modified>
</cp:coreProperties>
</file>